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CP/1314/2026</w:t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17 de septiembre de 2026</w:t>
      </w:r>
    </w:p>
    <w:p w:rsidR="00000000" w:rsidDel="00000000" w:rsidP="00000000" w:rsidRDefault="00000000" w:rsidRPr="00000000" w14:paraId="00000003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PRESENTA GOBERNADOR INICIATIVA DE DEROGACIÓN A PASE TURÍSTICO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Arial" w:cs="Arial" w:eastAsia="Arial" w:hAnsi="Arial"/>
          <w:i w:val="1"/>
          <w:iCs w:val="1"/>
        </w:rPr>
      </w:pPr>
      <w:bookmarkStart w:colFirst="0" w:colLast="0" w:name="_oqwt0pgxx5e" w:id="0"/>
      <w:bookmarkEnd w:id="0"/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La iniciativa con proyecto de decreto fue enviada al Congreso del Estado a fin que se derogue el Pase Turístico.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En días pasados, el Mandatario estatal dio a conocer que se darán facilidades y beneficios para la regularización de placas foráneas.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Monterrey, Nuevo León.-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Para formalizar la eliminación del Pase Turístico, el Gobernador Samuel Alejandro García Sepúlveda presentó la iniciativa para derogar el proyecto de reformas a la Ley de Movilidad Sostenible, de Accesibilidad y Seguridad Vial ante el Congreso del Estado. 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Lo anterior, al determinar que las disposiciones planteadas generaban  problemas de certeza, proporcionalidad y operatividad, al establecer obligaciones y restricciones sin parámetros suficientemente definidos. 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"Se DEROGAN Ios artículos 5 Bis y la fracción LXXX Bis del artículo 8 de la Ley de Movilidad Sostenible, de Accesibilidad y Seguridad Vial para el Estado de Nuevo León, así como los numerales tercero, cuarto y quinto transitorios previstos en el Decreto Núm. 209", se indica en el escrito.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En días pasados, el Gobernador indicó que contrario a la propuesta se preparan facilidades y beneficios para la regularización de vehículos con placas foráneas.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Asimismo, se contempla que no se lleven a cabo operativos de Fuerza Civil, como del Instituto de Movilidad y Planeación Urbana para evitar acciones que perjudiquen a la ciudadanía en ese sentido. 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De esta manera, se busca mantener un marco jurídico claro y evitar afectaciones a la población, tras las observaciones formuladas a dicho decreto.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618" w:top="2516" w:left="1800" w:right="1800" w:header="720" w:footer="15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-1142997</wp:posOffset>
          </wp:positionH>
          <wp:positionV relativeFrom="paragraph">
            <wp:posOffset>32384</wp:posOffset>
          </wp:positionV>
          <wp:extent cx="7783830" cy="133794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left" w:leader="none" w:pos="1173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-1151888</wp:posOffset>
          </wp:positionH>
          <wp:positionV relativeFrom="paragraph">
            <wp:posOffset>-1170303</wp:posOffset>
          </wp:positionV>
          <wp:extent cx="7792278" cy="1283481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