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89C39AC" w:rsidR="00EA29FA" w:rsidRPr="00C60FD1" w:rsidRDefault="00542052" w:rsidP="00EA29FA">
      <w:pPr>
        <w:jc w:val="right"/>
        <w:rPr>
          <w:rFonts w:ascii="Arial" w:hAnsi="Arial" w:cs="Arial"/>
          <w:b/>
          <w:sz w:val="22"/>
          <w:lang w:val="es-ES"/>
        </w:rPr>
      </w:pPr>
      <w:bookmarkStart w:id="0" w:name="_GoBack"/>
      <w:bookmarkEnd w:id="0"/>
      <w:r>
        <w:rPr>
          <w:rFonts w:ascii="Arial" w:hAnsi="Arial" w:cs="Arial"/>
          <w:b/>
          <w:sz w:val="22"/>
          <w:lang w:val="es-ES"/>
        </w:rPr>
        <w:t>CP/0300/2026</w:t>
      </w:r>
    </w:p>
    <w:p w14:paraId="695E3F55" w14:textId="0BE47A26" w:rsidR="00703B09" w:rsidRDefault="00542052" w:rsidP="00703B09">
      <w:pPr>
        <w:jc w:val="right"/>
        <w:rPr>
          <w:rFonts w:ascii="Arial" w:hAnsi="Arial" w:cs="Arial"/>
          <w:sz w:val="22"/>
          <w:lang w:val="es-ES"/>
        </w:rPr>
      </w:pPr>
      <w:r>
        <w:rPr>
          <w:rFonts w:ascii="Arial" w:hAnsi="Arial" w:cs="Arial"/>
          <w:sz w:val="22"/>
          <w:lang w:val="es-ES"/>
        </w:rPr>
        <w:t>23 de febrero de 2026</w:t>
      </w:r>
    </w:p>
    <w:p w14:paraId="1464C98A" w14:textId="77777777" w:rsidR="00703B09" w:rsidRDefault="00703B09" w:rsidP="00703B09">
      <w:pPr>
        <w:jc w:val="right"/>
        <w:rPr>
          <w:rFonts w:ascii="Arial" w:hAnsi="Arial" w:cs="Arial"/>
          <w:sz w:val="22"/>
          <w:lang w:val="es-ES"/>
        </w:rPr>
      </w:pPr>
    </w:p>
    <w:p w14:paraId="3844C281" w14:textId="77777777" w:rsidR="00BF6057" w:rsidRDefault="00542052" w:rsidP="00580ABF">
      <w:pPr>
        <w:jc w:val="center"/>
        <w:rPr>
          <w:rFonts w:ascii="Arial" w:hAnsi="Arial" w:cs="Arial"/>
          <w:b/>
          <w:sz w:val="28"/>
          <w:szCs w:val="28"/>
        </w:rPr>
      </w:pPr>
      <w:r w:rsidRPr="00542052">
        <w:rPr>
          <w:rFonts w:ascii="Arial" w:hAnsi="Arial" w:cs="Arial"/>
          <w:b/>
          <w:sz w:val="28"/>
          <w:szCs w:val="28"/>
        </w:rPr>
        <w:t xml:space="preserve">PRESENTAN SAMUEL Y MARIANA PROGRAMA  </w:t>
      </w:r>
    </w:p>
    <w:p w14:paraId="2040253F" w14:textId="10CD8A71" w:rsidR="00A23A57" w:rsidRDefault="00542052" w:rsidP="00580ABF">
      <w:pPr>
        <w:jc w:val="center"/>
        <w:rPr>
          <w:rFonts w:ascii="Arial" w:hAnsi="Arial" w:cs="Arial"/>
          <w:b/>
          <w:sz w:val="28"/>
          <w:szCs w:val="28"/>
        </w:rPr>
      </w:pPr>
      <w:r w:rsidRPr="00542052">
        <w:rPr>
          <w:rFonts w:ascii="Arial" w:hAnsi="Arial" w:cs="Arial"/>
          <w:b/>
          <w:sz w:val="28"/>
          <w:szCs w:val="28"/>
        </w:rPr>
        <w:t>“PONTE NUEVO, PONTE MUNDIAL”</w:t>
      </w:r>
    </w:p>
    <w:p w14:paraId="4F730ED2" w14:textId="77777777" w:rsidR="00580ABF" w:rsidRDefault="00580ABF" w:rsidP="00580ABF">
      <w:pPr>
        <w:jc w:val="center"/>
        <w:rPr>
          <w:rFonts w:ascii="Arial" w:hAnsi="Arial" w:cs="Arial"/>
          <w:b/>
          <w:sz w:val="28"/>
          <w:szCs w:val="28"/>
        </w:rPr>
      </w:pPr>
    </w:p>
    <w:p w14:paraId="1F3F9543" w14:textId="4AA2423B" w:rsidR="00BF6057" w:rsidRDefault="00BF6057" w:rsidP="00542052">
      <w:pPr>
        <w:pStyle w:val="Prrafodelista"/>
        <w:numPr>
          <w:ilvl w:val="0"/>
          <w:numId w:val="18"/>
        </w:numPr>
        <w:jc w:val="both"/>
        <w:rPr>
          <w:rFonts w:ascii="Arial" w:hAnsi="Arial" w:cs="Arial"/>
          <w:i/>
        </w:rPr>
      </w:pPr>
      <w:r>
        <w:rPr>
          <w:rFonts w:ascii="Arial" w:hAnsi="Arial" w:cs="Arial"/>
          <w:i/>
        </w:rPr>
        <w:t>Estado e Iniciativa Privada se unen por Nuevo León.</w:t>
      </w:r>
    </w:p>
    <w:p w14:paraId="42D4CAD6" w14:textId="0088E82C" w:rsidR="00EA29FA" w:rsidRDefault="00542052" w:rsidP="00542052">
      <w:pPr>
        <w:pStyle w:val="Prrafodelista"/>
        <w:numPr>
          <w:ilvl w:val="0"/>
          <w:numId w:val="18"/>
        </w:numPr>
        <w:jc w:val="both"/>
        <w:rPr>
          <w:rFonts w:ascii="Arial" w:hAnsi="Arial" w:cs="Arial"/>
          <w:i/>
        </w:rPr>
      </w:pPr>
      <w:r w:rsidRPr="00542052">
        <w:rPr>
          <w:rFonts w:ascii="Arial" w:hAnsi="Arial" w:cs="Arial"/>
          <w:i/>
        </w:rPr>
        <w:t>“Algo clave de Ponte Nuevo no es que termina el 19 de julio con el Mundial, es que estas empresas se comprometen a darle seguimiento legal que trascienda este sexenio y se quede para siempre en Nuevo León”.-Samuel García.</w:t>
      </w:r>
    </w:p>
    <w:p w14:paraId="402D5742" w14:textId="3FBAD9BD" w:rsidR="00542052" w:rsidRDefault="00542052" w:rsidP="00542052">
      <w:pPr>
        <w:pStyle w:val="Prrafodelista"/>
        <w:numPr>
          <w:ilvl w:val="0"/>
          <w:numId w:val="18"/>
        </w:numPr>
        <w:jc w:val="both"/>
        <w:rPr>
          <w:rFonts w:ascii="Arial" w:hAnsi="Arial" w:cs="Arial"/>
          <w:i/>
        </w:rPr>
      </w:pPr>
      <w:r w:rsidRPr="00542052">
        <w:rPr>
          <w:rFonts w:ascii="Arial" w:hAnsi="Arial" w:cs="Arial"/>
          <w:i/>
        </w:rPr>
        <w:t>Mariana Rodríguez resaltó que la fuerza y participación de las empresas en la iniciativa Ponte Nuevo representa una alianza muy importante y más allá del mundial se tiene una oportunidad de dejarle un legado a Nuevo León.</w:t>
      </w:r>
    </w:p>
    <w:p w14:paraId="7E3FFC1A" w14:textId="3F7ED7B2" w:rsidR="00542052" w:rsidRDefault="00542052" w:rsidP="00542052">
      <w:pPr>
        <w:pStyle w:val="Prrafodelista"/>
        <w:numPr>
          <w:ilvl w:val="0"/>
          <w:numId w:val="18"/>
        </w:numPr>
        <w:jc w:val="both"/>
        <w:rPr>
          <w:rFonts w:ascii="Arial" w:hAnsi="Arial" w:cs="Arial"/>
          <w:i/>
        </w:rPr>
      </w:pPr>
      <w:r w:rsidRPr="00542052">
        <w:rPr>
          <w:rFonts w:ascii="Arial" w:hAnsi="Arial" w:cs="Arial"/>
          <w:i/>
        </w:rPr>
        <w:t>Este programa de corresponsabilidad entre gobierno, iniciativa privada y sociedad civil integra a empresas con más de 300 iniciativas priorizadas en siete ejes estratégicos y busca dejar un legado urbano, económico y social más allá del Mundial 2026.</w:t>
      </w:r>
    </w:p>
    <w:p w14:paraId="0025A7F3" w14:textId="77777777" w:rsidR="00542052" w:rsidRPr="00C90637" w:rsidRDefault="00542052" w:rsidP="00542052">
      <w:pPr>
        <w:pStyle w:val="Prrafodelista"/>
        <w:jc w:val="both"/>
        <w:rPr>
          <w:rFonts w:ascii="Arial" w:hAnsi="Arial" w:cs="Arial"/>
          <w:i/>
        </w:rPr>
      </w:pPr>
    </w:p>
    <w:p w14:paraId="40BD761F" w14:textId="528BA921" w:rsidR="00542052" w:rsidRPr="00542052" w:rsidRDefault="00EA29FA" w:rsidP="0054205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42052" w:rsidRPr="00542052">
        <w:rPr>
          <w:rFonts w:ascii="Arial" w:hAnsi="Arial" w:cs="Arial"/>
          <w:sz w:val="28"/>
          <w:szCs w:val="28"/>
        </w:rPr>
        <w:t>Como parte de la estrategia para ser la mejor sede de la Copa del Mundo, el Gobernador de Nuevo León presentó el programa “Ponte Nuevo, Ponte Mundial”, una estrategia que articula esfuerzos públicos y privados para fortalecer el desarrollo urbano, económico y social de Nuevo León rumbo al Mundial de FIFA 2026.</w:t>
      </w:r>
    </w:p>
    <w:p w14:paraId="3F6950D0" w14:textId="77777777" w:rsidR="00542052" w:rsidRPr="00542052" w:rsidRDefault="00542052" w:rsidP="00542052">
      <w:pPr>
        <w:jc w:val="both"/>
        <w:rPr>
          <w:rFonts w:ascii="Arial" w:hAnsi="Arial" w:cs="Arial"/>
          <w:sz w:val="28"/>
          <w:szCs w:val="28"/>
        </w:rPr>
      </w:pPr>
    </w:p>
    <w:p w14:paraId="464E1554" w14:textId="77777777" w:rsidR="00542052" w:rsidRPr="00542052" w:rsidRDefault="00542052" w:rsidP="00542052">
      <w:pPr>
        <w:jc w:val="both"/>
        <w:rPr>
          <w:rFonts w:ascii="Arial" w:hAnsi="Arial" w:cs="Arial"/>
          <w:sz w:val="28"/>
          <w:szCs w:val="28"/>
        </w:rPr>
      </w:pPr>
      <w:r w:rsidRPr="00542052">
        <w:rPr>
          <w:rFonts w:ascii="Arial" w:hAnsi="Arial" w:cs="Arial"/>
          <w:sz w:val="28"/>
          <w:szCs w:val="28"/>
        </w:rPr>
        <w:t>En su mensaje, el Mandatario estatal, quien estuvo acompañado por la titular de Amar a Nuevo León, Mariana Rodríguez Cantú; felicitó a las empresas por sumarse a este programa y destacó la importancia de la corresponsabilidad entre gobierno e iniciativa privada para consolidar a la entidad como la mejor sede del país, pues resaltó que lograr el primer lugar en 41 indicadores también ha sido gracias a la actitud proactiva de la IP, gracias a su industria, sus empresas, sus cámaras y su altruismo.</w:t>
      </w:r>
    </w:p>
    <w:p w14:paraId="3C950238" w14:textId="77777777" w:rsidR="00542052" w:rsidRPr="00542052" w:rsidRDefault="00542052" w:rsidP="00542052">
      <w:pPr>
        <w:jc w:val="both"/>
        <w:rPr>
          <w:rFonts w:ascii="Arial" w:hAnsi="Arial" w:cs="Arial"/>
          <w:sz w:val="28"/>
          <w:szCs w:val="28"/>
        </w:rPr>
      </w:pPr>
    </w:p>
    <w:p w14:paraId="3B82FBDB" w14:textId="77777777" w:rsidR="00542052" w:rsidRPr="00542052" w:rsidRDefault="00542052" w:rsidP="00542052">
      <w:pPr>
        <w:jc w:val="both"/>
        <w:rPr>
          <w:rFonts w:ascii="Arial" w:hAnsi="Arial" w:cs="Arial"/>
          <w:sz w:val="28"/>
          <w:szCs w:val="28"/>
        </w:rPr>
      </w:pPr>
      <w:r w:rsidRPr="00542052">
        <w:rPr>
          <w:rFonts w:ascii="Arial" w:hAnsi="Arial" w:cs="Arial"/>
          <w:sz w:val="28"/>
          <w:szCs w:val="28"/>
        </w:rPr>
        <w:lastRenderedPageBreak/>
        <w:t xml:space="preserve">“Hoy empezamos con un 10 ideal, que fueron las primeras 10 empresas que dijeron ‘Cuenta conmigo, gobernador’. El gobierno no puede solo y siempre está la IP de Nuevo León buscando cómo apoyar. Algo clave de Ponte Nuevo no es que termina el 19 de julio con el Mundial, es que estas empresas se comprometen a darle seguimiento legal, que trascienda este sexenio y se quede para siempre en Nuevo León. </w:t>
      </w:r>
    </w:p>
    <w:p w14:paraId="2B04CE69" w14:textId="77777777" w:rsidR="00542052" w:rsidRPr="00542052" w:rsidRDefault="00542052" w:rsidP="00542052">
      <w:pPr>
        <w:jc w:val="both"/>
        <w:rPr>
          <w:rFonts w:ascii="Arial" w:hAnsi="Arial" w:cs="Arial"/>
          <w:sz w:val="28"/>
          <w:szCs w:val="28"/>
        </w:rPr>
      </w:pPr>
    </w:p>
    <w:p w14:paraId="726F616A" w14:textId="77777777" w:rsidR="00542052" w:rsidRPr="00542052" w:rsidRDefault="00542052" w:rsidP="00542052">
      <w:pPr>
        <w:jc w:val="both"/>
        <w:rPr>
          <w:rFonts w:ascii="Arial" w:hAnsi="Arial" w:cs="Arial"/>
          <w:sz w:val="28"/>
          <w:szCs w:val="28"/>
        </w:rPr>
      </w:pPr>
      <w:r w:rsidRPr="00542052">
        <w:rPr>
          <w:rFonts w:ascii="Arial" w:hAnsi="Arial" w:cs="Arial"/>
          <w:sz w:val="28"/>
          <w:szCs w:val="28"/>
        </w:rPr>
        <w:t xml:space="preserve">“Todo es bienvenido porque sabemos que aunque vamos muy bien, todavía falta mucho por hacer y Nuevo León puede tener mucho más apoyo de la sociedad de la IP. Estamos a 108 días, tiempo suficiente para adoptar una política, para adoptar una acción y juntos llegar al Mundial mostrando la mejor versión de Nuevo León”, señaló García Sepúlveda. </w:t>
      </w:r>
    </w:p>
    <w:p w14:paraId="35F92674" w14:textId="77777777" w:rsidR="00542052" w:rsidRPr="00542052" w:rsidRDefault="00542052" w:rsidP="00542052">
      <w:pPr>
        <w:jc w:val="both"/>
        <w:rPr>
          <w:rFonts w:ascii="Arial" w:hAnsi="Arial" w:cs="Arial"/>
          <w:sz w:val="28"/>
          <w:szCs w:val="28"/>
        </w:rPr>
      </w:pPr>
    </w:p>
    <w:p w14:paraId="32450F3A" w14:textId="77777777" w:rsidR="00542052" w:rsidRPr="00542052" w:rsidRDefault="00542052" w:rsidP="00542052">
      <w:pPr>
        <w:jc w:val="both"/>
        <w:rPr>
          <w:rFonts w:ascii="Arial" w:hAnsi="Arial" w:cs="Arial"/>
          <w:sz w:val="28"/>
          <w:szCs w:val="28"/>
        </w:rPr>
      </w:pPr>
      <w:r w:rsidRPr="00542052">
        <w:rPr>
          <w:rFonts w:ascii="Arial" w:hAnsi="Arial" w:cs="Arial"/>
          <w:sz w:val="28"/>
          <w:szCs w:val="28"/>
        </w:rPr>
        <w:t>El Gobernador de Nuevo León aprovechó para llamar a todas las fuerzas, diputados, alcaldes, a trabajar juntos y cerrar filas para lo que viene con este evento mundial y demostrar que no solo seremos la sede más norteña, sino la mejor sede de todo México.</w:t>
      </w:r>
    </w:p>
    <w:p w14:paraId="1E65EACE" w14:textId="77777777" w:rsidR="00542052" w:rsidRPr="00542052" w:rsidRDefault="00542052" w:rsidP="00542052">
      <w:pPr>
        <w:jc w:val="both"/>
        <w:rPr>
          <w:rFonts w:ascii="Arial" w:hAnsi="Arial" w:cs="Arial"/>
          <w:sz w:val="28"/>
          <w:szCs w:val="28"/>
        </w:rPr>
      </w:pPr>
    </w:p>
    <w:p w14:paraId="46EDA64B" w14:textId="77777777" w:rsidR="00542052" w:rsidRPr="00542052" w:rsidRDefault="00542052" w:rsidP="00542052">
      <w:pPr>
        <w:jc w:val="both"/>
        <w:rPr>
          <w:rFonts w:ascii="Arial" w:hAnsi="Arial" w:cs="Arial"/>
          <w:sz w:val="28"/>
          <w:szCs w:val="28"/>
        </w:rPr>
      </w:pPr>
      <w:r w:rsidRPr="00542052">
        <w:rPr>
          <w:rFonts w:ascii="Arial" w:hAnsi="Arial" w:cs="Arial"/>
          <w:sz w:val="28"/>
          <w:szCs w:val="28"/>
        </w:rPr>
        <w:t>Por su parte, Mariana Rodríguez Cantú señaló que el Mundial representa una oportunidad histórica e irrepetible para mostrar al mundo quién es Nuevo León y destacó que “Ponte Nuevo, Ponte Mundial”, es un proyecto de corresponsabilidad entre gobierno, iniciativa privada y ciudadanía que busca renovar el estado y dejar un legado permanente.</w:t>
      </w:r>
    </w:p>
    <w:p w14:paraId="261173B3" w14:textId="77777777" w:rsidR="00542052" w:rsidRPr="00542052" w:rsidRDefault="00542052" w:rsidP="00542052">
      <w:pPr>
        <w:jc w:val="both"/>
        <w:rPr>
          <w:rFonts w:ascii="Arial" w:hAnsi="Arial" w:cs="Arial"/>
          <w:sz w:val="28"/>
          <w:szCs w:val="28"/>
        </w:rPr>
      </w:pPr>
    </w:p>
    <w:p w14:paraId="06905573" w14:textId="5572776C" w:rsidR="00542052" w:rsidRPr="00542052" w:rsidRDefault="00542052" w:rsidP="00542052">
      <w:pPr>
        <w:jc w:val="both"/>
        <w:rPr>
          <w:rFonts w:ascii="Arial" w:hAnsi="Arial" w:cs="Arial"/>
          <w:sz w:val="28"/>
          <w:szCs w:val="28"/>
        </w:rPr>
      </w:pPr>
      <w:r w:rsidRPr="00542052">
        <w:rPr>
          <w:rFonts w:ascii="Arial" w:hAnsi="Arial" w:cs="Arial"/>
          <w:sz w:val="28"/>
          <w:szCs w:val="28"/>
        </w:rPr>
        <w:t xml:space="preserve">Destacó 4 ejes estratégicos de las acciones del Gobierno en las que destacan Movilidad e infraestructura con proyectos como las Líneas 4 y 6 del Metro y modernización de la Línea 1, más de </w:t>
      </w:r>
      <w:r w:rsidR="00BF6057">
        <w:rPr>
          <w:rFonts w:ascii="Arial" w:hAnsi="Arial" w:cs="Arial"/>
          <w:sz w:val="28"/>
          <w:szCs w:val="28"/>
        </w:rPr>
        <w:t xml:space="preserve">4 mil </w:t>
      </w:r>
      <w:r w:rsidR="00BF6057" w:rsidRPr="00542052">
        <w:rPr>
          <w:rFonts w:ascii="Arial" w:hAnsi="Arial" w:cs="Arial"/>
          <w:sz w:val="28"/>
          <w:szCs w:val="28"/>
        </w:rPr>
        <w:t>nuevos</w:t>
      </w:r>
      <w:r w:rsidRPr="00542052">
        <w:rPr>
          <w:rFonts w:ascii="Arial" w:hAnsi="Arial" w:cs="Arial"/>
          <w:sz w:val="28"/>
          <w:szCs w:val="28"/>
        </w:rPr>
        <w:t xml:space="preserve"> camiones y 400 nuevos paraderos; Espacios públicos y parques con nuevas obras como Parque del Agua, Libertad, Malecón Presa; Embellecimiento urbano; y un último eje de </w:t>
      </w:r>
      <w:r w:rsidR="00BF6057" w:rsidRPr="00542052">
        <w:rPr>
          <w:rFonts w:ascii="Arial" w:hAnsi="Arial" w:cs="Arial"/>
          <w:sz w:val="28"/>
          <w:szCs w:val="28"/>
        </w:rPr>
        <w:t>Crear la</w:t>
      </w:r>
      <w:r w:rsidRPr="00542052">
        <w:rPr>
          <w:rFonts w:ascii="Arial" w:hAnsi="Arial" w:cs="Arial"/>
          <w:sz w:val="28"/>
          <w:szCs w:val="28"/>
        </w:rPr>
        <w:t xml:space="preserve"> experiencia Mundial.</w:t>
      </w:r>
    </w:p>
    <w:p w14:paraId="6A2AD1D3" w14:textId="77777777" w:rsidR="00542052" w:rsidRPr="00542052" w:rsidRDefault="00542052" w:rsidP="00542052">
      <w:pPr>
        <w:jc w:val="both"/>
        <w:rPr>
          <w:rFonts w:ascii="Arial" w:hAnsi="Arial" w:cs="Arial"/>
          <w:sz w:val="28"/>
          <w:szCs w:val="28"/>
        </w:rPr>
      </w:pPr>
    </w:p>
    <w:p w14:paraId="4A7A609A" w14:textId="07C07C93" w:rsidR="00542052" w:rsidRPr="00EA29FA" w:rsidRDefault="00542052" w:rsidP="00542052">
      <w:pPr>
        <w:jc w:val="both"/>
        <w:rPr>
          <w:rFonts w:ascii="Arial" w:hAnsi="Arial" w:cs="Arial"/>
          <w:bCs/>
          <w:color w:val="323E4F"/>
        </w:rPr>
      </w:pPr>
      <w:r w:rsidRPr="00542052">
        <w:rPr>
          <w:rFonts w:ascii="Arial" w:hAnsi="Arial" w:cs="Arial"/>
          <w:sz w:val="28"/>
          <w:szCs w:val="28"/>
        </w:rPr>
        <w:t>“El gobierno de Nuevo León ya está haciendo su parte por un lado, acelerando los grandes proyectos para que estén listos antes de esta fecha y por otro, generando nuevas obras que dejen un legado para todos los neoloneses. Para convertir a Nuevo León en la mejor sede mundialista, necesitamos unir fuerzas y hacer equipo con la iniciativa.</w:t>
      </w:r>
    </w:p>
    <w:p w14:paraId="78763BE5" w14:textId="3FA8D86A" w:rsidR="00EA29FA" w:rsidRDefault="00EA29FA" w:rsidP="00C90637">
      <w:pPr>
        <w:jc w:val="both"/>
        <w:rPr>
          <w:rFonts w:ascii="Arial" w:hAnsi="Arial" w:cs="Arial"/>
          <w:bCs/>
          <w:color w:val="323E4F"/>
        </w:rPr>
      </w:pPr>
    </w:p>
    <w:p w14:paraId="008723DF" w14:textId="77777777" w:rsidR="00542052" w:rsidRPr="00542052" w:rsidRDefault="00542052" w:rsidP="00542052">
      <w:pPr>
        <w:jc w:val="both"/>
        <w:rPr>
          <w:rFonts w:ascii="Arial" w:hAnsi="Arial" w:cs="Arial"/>
          <w:bCs/>
          <w:sz w:val="28"/>
        </w:rPr>
      </w:pPr>
      <w:r w:rsidRPr="00542052">
        <w:rPr>
          <w:rFonts w:ascii="Arial" w:hAnsi="Arial" w:cs="Arial"/>
          <w:bCs/>
          <w:sz w:val="28"/>
        </w:rPr>
        <w:t>“Les invitamos a cada uno de ustedes a sumarse a este equipo, ¿Cómo sumarse a Ponte Nuevo? pueden adoptar áreas e impulsar acciones en el polígono FIFA; invertir en proyectos de mejora para que sean gestionados implementados y concluidos por sus empresas como rehabilitación de escuelas públicas, limpieza de las avenidas; impulsar la capacitación profesional y empleabilidad; también apoyar proyectos gubernamentales clave para multiplicar su alcance y hacerlos llegar más lejos. La fuerza y participación de las empresas en la iniciativa Ponte Nuevo representa una alianza muy importante, pero sobre todo se convierte en una gran motivación que ayuda a fortalecer el sentido de corresponsabilidad con la población”, agregó.</w:t>
      </w:r>
    </w:p>
    <w:p w14:paraId="5B77E42C" w14:textId="77777777" w:rsidR="00542052" w:rsidRPr="00542052" w:rsidRDefault="00542052" w:rsidP="00542052">
      <w:pPr>
        <w:jc w:val="both"/>
        <w:rPr>
          <w:rFonts w:ascii="Arial" w:hAnsi="Arial" w:cs="Arial"/>
          <w:bCs/>
          <w:sz w:val="28"/>
        </w:rPr>
      </w:pPr>
    </w:p>
    <w:p w14:paraId="217954BD" w14:textId="77777777" w:rsidR="00542052" w:rsidRPr="00542052" w:rsidRDefault="00542052" w:rsidP="00542052">
      <w:pPr>
        <w:jc w:val="both"/>
        <w:rPr>
          <w:rFonts w:ascii="Arial" w:hAnsi="Arial" w:cs="Arial"/>
          <w:bCs/>
          <w:sz w:val="28"/>
        </w:rPr>
      </w:pPr>
      <w:r w:rsidRPr="00542052">
        <w:rPr>
          <w:rFonts w:ascii="Arial" w:hAnsi="Arial" w:cs="Arial"/>
          <w:bCs/>
          <w:sz w:val="28"/>
        </w:rPr>
        <w:t>El programa nace como una iniciativa de corresponsabilidad que suma a la iniciativa privada, universidades, cámaras empresariales, gobiernos metropolitanos, medios de comunicación y sociedad civil, con el objetivo de generar cambios permanentes en infraestructura, competitividad y cohesión social.</w:t>
      </w:r>
    </w:p>
    <w:p w14:paraId="46B4930D" w14:textId="77777777" w:rsidR="00542052" w:rsidRPr="00542052" w:rsidRDefault="00542052" w:rsidP="00542052">
      <w:pPr>
        <w:jc w:val="both"/>
        <w:rPr>
          <w:rFonts w:ascii="Arial" w:hAnsi="Arial" w:cs="Arial"/>
          <w:bCs/>
          <w:sz w:val="28"/>
        </w:rPr>
      </w:pPr>
    </w:p>
    <w:p w14:paraId="187A4300" w14:textId="77777777" w:rsidR="00542052" w:rsidRPr="00542052" w:rsidRDefault="00542052" w:rsidP="00542052">
      <w:pPr>
        <w:jc w:val="both"/>
        <w:rPr>
          <w:rFonts w:ascii="Arial" w:hAnsi="Arial" w:cs="Arial"/>
          <w:bCs/>
          <w:sz w:val="28"/>
        </w:rPr>
      </w:pPr>
      <w:r w:rsidRPr="00542052">
        <w:rPr>
          <w:rFonts w:ascii="Arial" w:hAnsi="Arial" w:cs="Arial"/>
          <w:bCs/>
          <w:sz w:val="28"/>
        </w:rPr>
        <w:t xml:space="preserve">“Ponte Nuevo” no es una campaña temporal ni una nueva marca, sino un proceso de largo plazo que busca dejar beneficios duraderos para el Estado. </w:t>
      </w:r>
    </w:p>
    <w:p w14:paraId="25691258" w14:textId="77777777" w:rsidR="00542052" w:rsidRPr="00542052" w:rsidRDefault="00542052" w:rsidP="00542052">
      <w:pPr>
        <w:jc w:val="both"/>
        <w:rPr>
          <w:rFonts w:ascii="Arial" w:hAnsi="Arial" w:cs="Arial"/>
          <w:bCs/>
          <w:sz w:val="28"/>
        </w:rPr>
      </w:pPr>
    </w:p>
    <w:p w14:paraId="4AF18E6A" w14:textId="77777777" w:rsidR="00542052" w:rsidRPr="00542052" w:rsidRDefault="00542052" w:rsidP="00542052">
      <w:pPr>
        <w:jc w:val="both"/>
        <w:rPr>
          <w:rFonts w:ascii="Arial" w:hAnsi="Arial" w:cs="Arial"/>
          <w:bCs/>
          <w:sz w:val="28"/>
        </w:rPr>
      </w:pPr>
      <w:r w:rsidRPr="00542052">
        <w:rPr>
          <w:rFonts w:ascii="Arial" w:hAnsi="Arial" w:cs="Arial"/>
          <w:bCs/>
          <w:sz w:val="28"/>
        </w:rPr>
        <w:t>El Mundial funciona como catalizador, pero el alcance del programa es más amplio y está enfocado en la transformación integral.</w:t>
      </w:r>
    </w:p>
    <w:p w14:paraId="2FF1472F" w14:textId="77777777" w:rsidR="00542052" w:rsidRPr="00542052" w:rsidRDefault="00542052" w:rsidP="00542052">
      <w:pPr>
        <w:jc w:val="both"/>
        <w:rPr>
          <w:rFonts w:ascii="Arial" w:hAnsi="Arial" w:cs="Arial"/>
          <w:bCs/>
          <w:sz w:val="28"/>
        </w:rPr>
      </w:pPr>
    </w:p>
    <w:p w14:paraId="5644A546" w14:textId="77777777" w:rsidR="00542052" w:rsidRPr="00542052" w:rsidRDefault="00542052" w:rsidP="00542052">
      <w:pPr>
        <w:jc w:val="both"/>
        <w:rPr>
          <w:rFonts w:ascii="Arial" w:hAnsi="Arial" w:cs="Arial"/>
          <w:bCs/>
          <w:sz w:val="28"/>
        </w:rPr>
      </w:pPr>
      <w:r w:rsidRPr="00542052">
        <w:rPr>
          <w:rFonts w:ascii="Arial" w:hAnsi="Arial" w:cs="Arial"/>
          <w:bCs/>
          <w:sz w:val="28"/>
        </w:rPr>
        <w:t xml:space="preserve">La estrategia integra más de 300 iniciativas, alineadas bajo criterios de corresponsabilidad, alineación estratégica, beneficios de largo plazo y medición de impacto. </w:t>
      </w:r>
    </w:p>
    <w:p w14:paraId="2285480C" w14:textId="77777777" w:rsidR="00542052" w:rsidRPr="00542052" w:rsidRDefault="00542052" w:rsidP="00542052">
      <w:pPr>
        <w:jc w:val="both"/>
        <w:rPr>
          <w:rFonts w:ascii="Arial" w:hAnsi="Arial" w:cs="Arial"/>
          <w:bCs/>
          <w:sz w:val="28"/>
        </w:rPr>
      </w:pPr>
    </w:p>
    <w:p w14:paraId="6E29B120" w14:textId="77777777" w:rsidR="00542052" w:rsidRPr="00542052" w:rsidRDefault="00542052" w:rsidP="00542052">
      <w:pPr>
        <w:jc w:val="both"/>
        <w:rPr>
          <w:rFonts w:ascii="Arial" w:hAnsi="Arial" w:cs="Arial"/>
          <w:bCs/>
          <w:sz w:val="28"/>
        </w:rPr>
      </w:pPr>
      <w:r w:rsidRPr="00542052">
        <w:rPr>
          <w:rFonts w:ascii="Arial" w:hAnsi="Arial" w:cs="Arial"/>
          <w:bCs/>
          <w:sz w:val="28"/>
        </w:rPr>
        <w:t>Estas acciones se organizan en siete ejes prioritarios, como son medio ambiente, movilidad, mejoramiento de imagen urbana, seguridad, primera infancia, salud y bienestar, y desarrollo social.</w:t>
      </w:r>
    </w:p>
    <w:p w14:paraId="507CFE61" w14:textId="77777777" w:rsidR="00542052" w:rsidRPr="00542052" w:rsidRDefault="00542052" w:rsidP="00542052">
      <w:pPr>
        <w:jc w:val="both"/>
        <w:rPr>
          <w:rFonts w:ascii="Arial" w:hAnsi="Arial" w:cs="Arial"/>
          <w:bCs/>
          <w:sz w:val="28"/>
        </w:rPr>
      </w:pPr>
    </w:p>
    <w:p w14:paraId="66379C7D" w14:textId="77777777" w:rsidR="00542052" w:rsidRPr="00542052" w:rsidRDefault="00542052" w:rsidP="00542052">
      <w:pPr>
        <w:jc w:val="both"/>
        <w:rPr>
          <w:rFonts w:ascii="Arial" w:hAnsi="Arial" w:cs="Arial"/>
          <w:bCs/>
          <w:sz w:val="28"/>
        </w:rPr>
      </w:pPr>
      <w:r w:rsidRPr="00542052">
        <w:rPr>
          <w:rFonts w:ascii="Arial" w:hAnsi="Arial" w:cs="Arial"/>
          <w:bCs/>
          <w:sz w:val="28"/>
        </w:rPr>
        <w:t xml:space="preserve">En la inauguración del evento participaron diversas empresas que impulsarán acciones concretas en beneficio de la comunidad 7-Eleven que realizará brigadas de recuperación y limpieza de espacios, además de promover experiencias deportivas itinerantes y eventos de salud y bienestar; ARCA implementará el programa Inglés para el Futuro, enfocado en empleabilidad y movilidad social juvenil; Banco BASE contribuirá mediante la adopción, recuperación y activación social de espacios verdes a largo plazo; Grupo </w:t>
      </w:r>
      <w:proofErr w:type="spellStart"/>
      <w:r w:rsidRPr="00542052">
        <w:rPr>
          <w:rFonts w:ascii="Arial" w:hAnsi="Arial" w:cs="Arial"/>
          <w:bCs/>
          <w:sz w:val="28"/>
        </w:rPr>
        <w:t>Berel</w:t>
      </w:r>
      <w:proofErr w:type="spellEnd"/>
      <w:r w:rsidRPr="00542052">
        <w:rPr>
          <w:rFonts w:ascii="Arial" w:hAnsi="Arial" w:cs="Arial"/>
          <w:bCs/>
          <w:sz w:val="28"/>
        </w:rPr>
        <w:t xml:space="preserve"> intervendrá murales de alto impacto para </w:t>
      </w:r>
      <w:proofErr w:type="spellStart"/>
      <w:r w:rsidRPr="00542052">
        <w:rPr>
          <w:rFonts w:ascii="Arial" w:hAnsi="Arial" w:cs="Arial"/>
          <w:bCs/>
          <w:sz w:val="28"/>
        </w:rPr>
        <w:t>redignificar</w:t>
      </w:r>
      <w:proofErr w:type="spellEnd"/>
      <w:r w:rsidRPr="00542052">
        <w:rPr>
          <w:rFonts w:ascii="Arial" w:hAnsi="Arial" w:cs="Arial"/>
          <w:bCs/>
          <w:sz w:val="28"/>
        </w:rPr>
        <w:t xml:space="preserve"> espacios públicos; CEMEX promoverá accesibilidad al deporte, infraestructura resiliente en comunidades vulnerables y viveros para la recuperación de espacios públicos. </w:t>
      </w:r>
    </w:p>
    <w:p w14:paraId="7E7B4BA9" w14:textId="77777777" w:rsidR="00542052" w:rsidRPr="00542052" w:rsidRDefault="00542052" w:rsidP="00542052">
      <w:pPr>
        <w:jc w:val="both"/>
        <w:rPr>
          <w:rFonts w:ascii="Arial" w:hAnsi="Arial" w:cs="Arial"/>
          <w:bCs/>
          <w:sz w:val="28"/>
        </w:rPr>
      </w:pPr>
    </w:p>
    <w:p w14:paraId="5B1293F2" w14:textId="77777777" w:rsidR="00542052" w:rsidRPr="00542052" w:rsidRDefault="00542052" w:rsidP="00542052">
      <w:pPr>
        <w:jc w:val="both"/>
        <w:rPr>
          <w:rFonts w:ascii="Arial" w:hAnsi="Arial" w:cs="Arial"/>
          <w:bCs/>
          <w:sz w:val="28"/>
        </w:rPr>
      </w:pPr>
      <w:r w:rsidRPr="00542052">
        <w:rPr>
          <w:rFonts w:ascii="Arial" w:hAnsi="Arial" w:cs="Arial"/>
          <w:bCs/>
          <w:sz w:val="28"/>
        </w:rPr>
        <w:t>Asimismo, Cinépolis desarrollará cine comunitario y experiencias culturales que amplifiquen historias de transformación social; DIDI fortalecerá la Red de Movilidad Segura con puntos seguros, tecnología de respuesta rápida y voluntariado ambiental; Farmacias del Ahorro impulsará la salud comunitaria con activaciones médicas y acceso a bienestar integral, además de promover horarios escalonados; OXXO apoyará la rehabilitación escolar, arborización estratégica y voluntariado corporativo para entornos dignos; XIGNUX brindará apoyo logístico y alimentario para fortalecer la cohesión comunitaria; y durante el evento se sumó The Home Depot.</w:t>
      </w:r>
    </w:p>
    <w:p w14:paraId="72C28700" w14:textId="77777777" w:rsidR="00542052" w:rsidRPr="00542052" w:rsidRDefault="00542052" w:rsidP="00542052">
      <w:pPr>
        <w:jc w:val="both"/>
        <w:rPr>
          <w:rFonts w:ascii="Arial" w:hAnsi="Arial" w:cs="Arial"/>
          <w:bCs/>
          <w:sz w:val="28"/>
        </w:rPr>
      </w:pPr>
    </w:p>
    <w:p w14:paraId="2BC1EDE8" w14:textId="77777777" w:rsidR="00542052" w:rsidRPr="00542052" w:rsidRDefault="00542052" w:rsidP="00542052">
      <w:pPr>
        <w:jc w:val="both"/>
        <w:rPr>
          <w:rFonts w:ascii="Arial" w:hAnsi="Arial" w:cs="Arial"/>
          <w:bCs/>
          <w:sz w:val="28"/>
        </w:rPr>
      </w:pPr>
      <w:r w:rsidRPr="00542052">
        <w:rPr>
          <w:rFonts w:ascii="Arial" w:hAnsi="Arial" w:cs="Arial"/>
          <w:bCs/>
          <w:sz w:val="28"/>
        </w:rPr>
        <w:t>Durante el evento estuvieron presentes Betsabé Rocha Nieto, Secretaria de Economía; Daniel Acosta Fregoso, Secretario de Participación Ciudadana y Coordinador del Gabinete de Igualdad para Todas las Personas; alcaldes, diputados locales.</w:t>
      </w:r>
    </w:p>
    <w:p w14:paraId="49D0AE21" w14:textId="77777777" w:rsidR="00542052" w:rsidRPr="00542052" w:rsidRDefault="00542052" w:rsidP="00542052">
      <w:pPr>
        <w:jc w:val="both"/>
        <w:rPr>
          <w:rFonts w:ascii="Arial" w:hAnsi="Arial" w:cs="Arial"/>
          <w:bCs/>
          <w:sz w:val="28"/>
        </w:rPr>
      </w:pPr>
    </w:p>
    <w:p w14:paraId="52E42596" w14:textId="65B50173" w:rsidR="00542052" w:rsidRPr="00542052" w:rsidRDefault="00542052" w:rsidP="00542052">
      <w:pPr>
        <w:jc w:val="both"/>
        <w:rPr>
          <w:rFonts w:ascii="Arial" w:hAnsi="Arial" w:cs="Arial"/>
          <w:bCs/>
          <w:sz w:val="28"/>
        </w:rPr>
      </w:pPr>
      <w:r w:rsidRPr="00542052">
        <w:rPr>
          <w:rFonts w:ascii="Arial" w:hAnsi="Arial" w:cs="Arial"/>
          <w:bCs/>
          <w:sz w:val="28"/>
        </w:rPr>
        <w:t xml:space="preserve">Asimismo, por parte de las empresas Luis Alberto Rodríguez Mora, Director General de Grupo </w:t>
      </w:r>
      <w:proofErr w:type="spellStart"/>
      <w:r w:rsidRPr="00542052">
        <w:rPr>
          <w:rFonts w:ascii="Arial" w:hAnsi="Arial" w:cs="Arial"/>
          <w:bCs/>
          <w:sz w:val="28"/>
        </w:rPr>
        <w:t>Berel</w:t>
      </w:r>
      <w:proofErr w:type="spellEnd"/>
      <w:r w:rsidRPr="00542052">
        <w:rPr>
          <w:rFonts w:ascii="Arial" w:hAnsi="Arial" w:cs="Arial"/>
          <w:bCs/>
          <w:sz w:val="28"/>
        </w:rPr>
        <w:t xml:space="preserve">; David Garza Herrera, Director de Asuntos Corporativos de XIGNUX; Jean-Claude Tissot, Director Ejecutivo de Operaciones de ARCA; Carlos Garza Galán, Vicepresidente de Asuntos Corporativos, Mercadotecnia, Comunicación y Sostenibilidad de CEMEX México; Gabriel Chapa Muñoz, Director de Relaciones Institucionales de </w:t>
      </w:r>
      <w:proofErr w:type="spellStart"/>
      <w:r w:rsidRPr="00542052">
        <w:rPr>
          <w:rFonts w:ascii="Arial" w:hAnsi="Arial" w:cs="Arial"/>
          <w:bCs/>
          <w:sz w:val="28"/>
        </w:rPr>
        <w:t>Iconn</w:t>
      </w:r>
      <w:proofErr w:type="spellEnd"/>
      <w:r w:rsidRPr="00542052">
        <w:rPr>
          <w:rFonts w:ascii="Arial" w:hAnsi="Arial" w:cs="Arial"/>
          <w:bCs/>
          <w:sz w:val="28"/>
        </w:rPr>
        <w:t>; Carlos Arroyo Rico, Director General de OXXO; Julio Ricardo Escandón Jiménez, Director General de Banco BASE; Tonatiuh Anzures, Director de Asuntos Gubernamentales de DIDI; Edmundo Rivera Sánchez, Director Jurídico de Relaciones con Gobierno de México, Cinépolis; y Antonio Leonardo Castañón, Presidente del Consejo de Farmacias del Ahorro.</w:t>
      </w:r>
    </w:p>
    <w:sectPr w:rsidR="00542052" w:rsidRPr="0054205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7B560" w14:textId="77777777" w:rsidR="004E4466" w:rsidRDefault="004E4466" w:rsidP="00E83348">
      <w:r>
        <w:separator/>
      </w:r>
    </w:p>
  </w:endnote>
  <w:endnote w:type="continuationSeparator" w:id="0">
    <w:p w14:paraId="43916126" w14:textId="77777777" w:rsidR="004E4466" w:rsidRDefault="004E44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24993" w14:textId="77777777" w:rsidR="004E4466" w:rsidRDefault="004E4466" w:rsidP="00E83348">
      <w:r>
        <w:separator/>
      </w:r>
    </w:p>
  </w:footnote>
  <w:footnote w:type="continuationSeparator" w:id="0">
    <w:p w14:paraId="04D0B942" w14:textId="77777777" w:rsidR="004E4466" w:rsidRDefault="004E44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46FE9"/>
    <w:rsid w:val="00464046"/>
    <w:rsid w:val="00466EC5"/>
    <w:rsid w:val="00476173"/>
    <w:rsid w:val="00486C41"/>
    <w:rsid w:val="004A211E"/>
    <w:rsid w:val="004A3C61"/>
    <w:rsid w:val="004A47CB"/>
    <w:rsid w:val="004B100E"/>
    <w:rsid w:val="004C3EBD"/>
    <w:rsid w:val="004C6B3C"/>
    <w:rsid w:val="004E4466"/>
    <w:rsid w:val="004F09AE"/>
    <w:rsid w:val="004F52E5"/>
    <w:rsid w:val="00530E91"/>
    <w:rsid w:val="005418C6"/>
    <w:rsid w:val="00542052"/>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15B4"/>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6057"/>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113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1EF5-50CE-412F-B878-6C0AF635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1203</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2026-02-24T14:14:00Z</dcterms:created>
  <dcterms:modified xsi:type="dcterms:W3CDTF">2026-02-24T14:14:00Z</dcterms:modified>
</cp:coreProperties>
</file>