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0D2BB97" w14:textId="3E963FBE" w:rsidR="009C0D7E" w:rsidRPr="004667B8" w:rsidRDefault="007D6FDF" w:rsidP="009C0D7E">
      <w:pPr>
        <w:jc w:val="right"/>
        <w:rPr>
          <w:rFonts w:ascii="Arial" w:hAnsi="Arial" w:cs="Arial"/>
          <w:b/>
          <w:sz w:val="22"/>
          <w:lang w:val="es-ES"/>
        </w:rPr>
      </w:pPr>
      <w:r>
        <w:rPr>
          <w:rFonts w:ascii="Arial" w:hAnsi="Arial" w:cs="Arial"/>
          <w:b/>
          <w:sz w:val="22"/>
          <w:lang w:val="es-ES"/>
        </w:rPr>
        <w:t>CP/1394</w:t>
      </w:r>
      <w:r w:rsidR="007D065D">
        <w:rPr>
          <w:rFonts w:ascii="Arial" w:hAnsi="Arial" w:cs="Arial"/>
          <w:b/>
          <w:sz w:val="22"/>
          <w:lang w:val="es-ES"/>
        </w:rPr>
        <w:t>/2026</w:t>
      </w:r>
    </w:p>
    <w:p w14:paraId="3F7360A1" w14:textId="2B0B45A7" w:rsidR="009C0D7E" w:rsidRDefault="007D6FDF" w:rsidP="00E7224C">
      <w:pPr>
        <w:jc w:val="right"/>
        <w:rPr>
          <w:rFonts w:ascii="Arial" w:hAnsi="Arial" w:cs="Arial"/>
          <w:sz w:val="22"/>
          <w:lang w:val="es-ES"/>
        </w:rPr>
      </w:pPr>
      <w:r>
        <w:rPr>
          <w:rFonts w:ascii="Arial" w:hAnsi="Arial" w:cs="Arial"/>
          <w:sz w:val="22"/>
          <w:lang w:val="es-ES"/>
        </w:rPr>
        <w:t>1</w:t>
      </w:r>
      <w:r w:rsidR="006A4DCB">
        <w:rPr>
          <w:rFonts w:ascii="Arial" w:hAnsi="Arial" w:cs="Arial"/>
          <w:sz w:val="22"/>
          <w:lang w:val="es-ES"/>
        </w:rPr>
        <w:t xml:space="preserve"> </w:t>
      </w:r>
      <w:r w:rsidR="00247A9E">
        <w:rPr>
          <w:rFonts w:ascii="Arial" w:hAnsi="Arial" w:cs="Arial"/>
          <w:sz w:val="22"/>
          <w:lang w:val="es-ES"/>
        </w:rPr>
        <w:t>de octubre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57FEA1D4" w14:textId="7796FA41" w:rsidR="007D6FDF" w:rsidRDefault="007D6FDF" w:rsidP="007D6FDF">
      <w:pPr>
        <w:jc w:val="center"/>
        <w:rPr>
          <w:rFonts w:ascii="Arial" w:hAnsi="Arial" w:cs="Arial"/>
          <w:b/>
          <w:sz w:val="28"/>
          <w:szCs w:val="28"/>
        </w:rPr>
      </w:pPr>
      <w:bookmarkStart w:id="0" w:name="_GoBack"/>
      <w:r w:rsidRPr="007D6FDF">
        <w:rPr>
          <w:rFonts w:ascii="Arial" w:hAnsi="Arial" w:cs="Arial"/>
          <w:b/>
          <w:sz w:val="28"/>
          <w:szCs w:val="28"/>
        </w:rPr>
        <w:t>RAT</w:t>
      </w:r>
      <w:r>
        <w:rPr>
          <w:rFonts w:ascii="Arial" w:hAnsi="Arial" w:cs="Arial"/>
          <w:b/>
          <w:sz w:val="28"/>
          <w:szCs w:val="28"/>
        </w:rPr>
        <w:t xml:space="preserve">IFICA HR RATINGS CALIFICACIONES </w:t>
      </w:r>
      <w:r w:rsidRPr="007D6FDF">
        <w:rPr>
          <w:rFonts w:ascii="Arial" w:hAnsi="Arial" w:cs="Arial"/>
          <w:b/>
          <w:sz w:val="28"/>
          <w:szCs w:val="28"/>
        </w:rPr>
        <w:t xml:space="preserve">CREDITICIAS DE AGUA Y DRENAJE </w:t>
      </w:r>
    </w:p>
    <w:p w14:paraId="1C76F2EB" w14:textId="77777777" w:rsidR="007D6FDF" w:rsidRPr="007D6FDF" w:rsidRDefault="007D6FDF" w:rsidP="007D6FDF">
      <w:pPr>
        <w:jc w:val="center"/>
        <w:rPr>
          <w:rFonts w:ascii="Arial" w:hAnsi="Arial" w:cs="Arial"/>
          <w:b/>
          <w:sz w:val="28"/>
          <w:szCs w:val="28"/>
        </w:rPr>
      </w:pPr>
    </w:p>
    <w:bookmarkEnd w:id="0"/>
    <w:p w14:paraId="2DAEB3EF" w14:textId="77777777" w:rsidR="000D39CB" w:rsidRDefault="000D39CB" w:rsidP="007F5780">
      <w:pPr>
        <w:jc w:val="center"/>
        <w:rPr>
          <w:rFonts w:ascii="Arial" w:hAnsi="Arial" w:cs="Arial"/>
          <w:b/>
          <w:sz w:val="28"/>
          <w:szCs w:val="28"/>
        </w:rPr>
      </w:pPr>
    </w:p>
    <w:p w14:paraId="4E281AA3" w14:textId="77777777" w:rsidR="007D6FDF" w:rsidRDefault="007D6FDF" w:rsidP="007D6FDF">
      <w:pPr>
        <w:pStyle w:val="Prrafodelista"/>
        <w:numPr>
          <w:ilvl w:val="0"/>
          <w:numId w:val="20"/>
        </w:numPr>
        <w:rPr>
          <w:rFonts w:ascii="Arial" w:hAnsi="Arial" w:cs="Arial"/>
          <w:i/>
        </w:rPr>
      </w:pPr>
      <w:r w:rsidRPr="007D6FDF">
        <w:rPr>
          <w:rFonts w:ascii="Arial" w:hAnsi="Arial" w:cs="Arial"/>
          <w:i/>
        </w:rPr>
        <w:t>Por segundo año consecutivo, la agencia reafirma la calificación HR AA- con Perspectiva Estable del Organismo.</w:t>
      </w:r>
    </w:p>
    <w:p w14:paraId="5C2866C6" w14:textId="77777777" w:rsidR="007D6FDF" w:rsidRPr="007D6FDF" w:rsidRDefault="007D6FDF" w:rsidP="007D6FDF">
      <w:pPr>
        <w:pStyle w:val="Prrafodelista"/>
        <w:numPr>
          <w:ilvl w:val="0"/>
          <w:numId w:val="20"/>
        </w:numPr>
        <w:rPr>
          <w:rFonts w:ascii="Arial" w:hAnsi="Arial" w:cs="Arial"/>
          <w:i/>
        </w:rPr>
      </w:pPr>
      <w:r w:rsidRPr="007D6FDF">
        <w:rPr>
          <w:rFonts w:ascii="Arial" w:hAnsi="Arial" w:cs="Arial"/>
          <w:i/>
        </w:rPr>
        <w:t>A la par la calificadora ratificó en HR AAA (E), la nota más alta de su escala, sus créditos bancarios.</w:t>
      </w:r>
    </w:p>
    <w:p w14:paraId="0DE6A9C8" w14:textId="77777777" w:rsidR="007D6FDF" w:rsidRPr="007D6FDF" w:rsidRDefault="007D6FDF" w:rsidP="007D6FDF">
      <w:pPr>
        <w:pStyle w:val="Prrafodelista"/>
        <w:rPr>
          <w:rFonts w:ascii="Arial" w:hAnsi="Arial" w:cs="Arial"/>
          <w:i/>
        </w:rPr>
      </w:pPr>
    </w:p>
    <w:p w14:paraId="4BCC94D1" w14:textId="77777777" w:rsidR="0092409C" w:rsidRDefault="0092409C" w:rsidP="000D39CB">
      <w:pPr>
        <w:jc w:val="both"/>
        <w:rPr>
          <w:rFonts w:ascii="Arial" w:hAnsi="Arial" w:cs="Arial"/>
          <w:b/>
          <w:sz w:val="28"/>
          <w:szCs w:val="28"/>
        </w:rPr>
      </w:pPr>
    </w:p>
    <w:p w14:paraId="078C2D57" w14:textId="77777777" w:rsidR="007D6FDF" w:rsidRDefault="0092409C" w:rsidP="007D6FDF">
      <w:pPr>
        <w:jc w:val="both"/>
        <w:rPr>
          <w:rFonts w:ascii="Arial" w:hAnsi="Arial" w:cs="Arial"/>
          <w:sz w:val="28"/>
          <w:szCs w:val="28"/>
        </w:rPr>
      </w:pPr>
      <w:r>
        <w:rPr>
          <w:rFonts w:ascii="Arial" w:hAnsi="Arial" w:cs="Arial"/>
          <w:b/>
          <w:sz w:val="28"/>
          <w:szCs w:val="28"/>
        </w:rPr>
        <w:t>Monterrey</w:t>
      </w:r>
      <w:r w:rsidR="000D7421">
        <w:rPr>
          <w:rFonts w:ascii="Arial" w:hAnsi="Arial" w:cs="Arial"/>
          <w:b/>
          <w:sz w:val="28"/>
          <w:szCs w:val="28"/>
        </w:rPr>
        <w:t>, Nuevo León</w:t>
      </w:r>
      <w:r w:rsidR="00EA29FA" w:rsidRPr="00927177">
        <w:rPr>
          <w:rFonts w:ascii="Arial" w:hAnsi="Arial" w:cs="Arial"/>
          <w:b/>
          <w:sz w:val="28"/>
          <w:szCs w:val="28"/>
        </w:rPr>
        <w:t>.-</w:t>
      </w:r>
      <w:r w:rsidR="001A35C5">
        <w:rPr>
          <w:rFonts w:ascii="Arial" w:hAnsi="Arial" w:cs="Arial"/>
          <w:b/>
          <w:sz w:val="28"/>
          <w:szCs w:val="28"/>
        </w:rPr>
        <w:t xml:space="preserve"> </w:t>
      </w:r>
      <w:r w:rsidR="007D6FDF" w:rsidRPr="007D6FDF">
        <w:rPr>
          <w:rFonts w:ascii="Arial" w:hAnsi="Arial" w:cs="Arial"/>
          <w:sz w:val="28"/>
          <w:szCs w:val="28"/>
        </w:rPr>
        <w:t xml:space="preserve">HR Ratings ratificó por segundo año consecutivo la calificación crediticia de Servicios de Agua y Drenaje de Monterrey en HR AA- con Perspectiva Estable, bajo la administración encabezada por Eduardo Ortegón Williamson. </w:t>
      </w:r>
    </w:p>
    <w:p w14:paraId="43584E72" w14:textId="77777777" w:rsidR="007D6FDF" w:rsidRDefault="007D6FDF" w:rsidP="007D6FDF">
      <w:pPr>
        <w:jc w:val="both"/>
        <w:rPr>
          <w:rFonts w:ascii="Arial" w:hAnsi="Arial" w:cs="Arial"/>
          <w:sz w:val="28"/>
          <w:szCs w:val="28"/>
        </w:rPr>
      </w:pPr>
    </w:p>
    <w:p w14:paraId="156AC7C4" w14:textId="27B41A0E" w:rsidR="007D6FDF" w:rsidRPr="007D6FDF" w:rsidRDefault="007D6FDF" w:rsidP="007D6FDF">
      <w:pPr>
        <w:jc w:val="both"/>
        <w:rPr>
          <w:rFonts w:ascii="Arial" w:hAnsi="Arial" w:cs="Arial"/>
          <w:sz w:val="28"/>
          <w:szCs w:val="28"/>
        </w:rPr>
      </w:pPr>
      <w:r w:rsidRPr="007D6FDF">
        <w:rPr>
          <w:rFonts w:ascii="Arial" w:hAnsi="Arial" w:cs="Arial"/>
          <w:sz w:val="28"/>
          <w:szCs w:val="28"/>
        </w:rPr>
        <w:t>Los fundamentos de la acción son su nivel de endeudamiento aceptable, el refinanciamiento de su deuda de largo plazo, la tendencia positiva en sus ingresos, y las estrategias de ahorro y eficiencia implementadas por el organismo.</w:t>
      </w:r>
    </w:p>
    <w:p w14:paraId="3C7E7522" w14:textId="77777777" w:rsidR="007D6FDF" w:rsidRPr="007D6FDF" w:rsidRDefault="007D6FDF" w:rsidP="007D6FDF">
      <w:pPr>
        <w:jc w:val="both"/>
        <w:rPr>
          <w:rFonts w:ascii="Arial" w:hAnsi="Arial" w:cs="Arial"/>
          <w:sz w:val="28"/>
          <w:szCs w:val="28"/>
        </w:rPr>
      </w:pPr>
    </w:p>
    <w:p w14:paraId="5A606567" w14:textId="77777777" w:rsidR="007D6FDF" w:rsidRPr="007D6FDF" w:rsidRDefault="007D6FDF" w:rsidP="007D6FDF">
      <w:pPr>
        <w:jc w:val="both"/>
        <w:rPr>
          <w:rFonts w:ascii="Arial" w:hAnsi="Arial" w:cs="Arial"/>
          <w:sz w:val="28"/>
          <w:szCs w:val="28"/>
        </w:rPr>
      </w:pPr>
      <w:r w:rsidRPr="007D6FDF">
        <w:rPr>
          <w:rFonts w:ascii="Arial" w:hAnsi="Arial" w:cs="Arial"/>
          <w:sz w:val="28"/>
          <w:szCs w:val="28"/>
        </w:rPr>
        <w:t>Adicionalmente, la agencia calificadora revalido las calificaciones de los créditos bancarios de Agua y Drenaje en HR AAA (E), lo que representa la nota más alta dentro de esta escala y le permite acceder a las mejores condiciones financieras del mercado.</w:t>
      </w:r>
    </w:p>
    <w:p w14:paraId="3F1F0845" w14:textId="77777777" w:rsidR="007D6FDF" w:rsidRPr="007D6FDF" w:rsidRDefault="007D6FDF" w:rsidP="007D6FDF">
      <w:pPr>
        <w:jc w:val="both"/>
        <w:rPr>
          <w:rFonts w:ascii="Arial" w:hAnsi="Arial" w:cs="Arial"/>
          <w:sz w:val="28"/>
          <w:szCs w:val="28"/>
        </w:rPr>
      </w:pPr>
    </w:p>
    <w:p w14:paraId="248D0F77" w14:textId="77777777" w:rsidR="007D6FDF" w:rsidRPr="007D6FDF" w:rsidRDefault="007D6FDF" w:rsidP="007D6FDF">
      <w:pPr>
        <w:jc w:val="both"/>
        <w:rPr>
          <w:rFonts w:ascii="Arial" w:hAnsi="Arial" w:cs="Arial"/>
          <w:sz w:val="28"/>
          <w:szCs w:val="28"/>
        </w:rPr>
      </w:pPr>
      <w:r w:rsidRPr="007D6FDF">
        <w:rPr>
          <w:rFonts w:ascii="Arial" w:hAnsi="Arial" w:cs="Arial"/>
          <w:sz w:val="28"/>
          <w:szCs w:val="28"/>
        </w:rPr>
        <w:t>Entre los aspectos señalados por HR Ratings, enfatizó el refinanciamiento de la deuda bancaria del organismo realizado a finales de 2025; mediante el cual mejoraron las condiciones para el servicio de la deuda, y se fortaleció la liquidez de corto plazo durante 2026.</w:t>
      </w:r>
    </w:p>
    <w:p w14:paraId="52971E3F" w14:textId="77777777" w:rsidR="007D6FDF" w:rsidRPr="007D6FDF" w:rsidRDefault="007D6FDF" w:rsidP="007D6FDF">
      <w:pPr>
        <w:jc w:val="both"/>
        <w:rPr>
          <w:rFonts w:ascii="Arial" w:hAnsi="Arial" w:cs="Arial"/>
          <w:sz w:val="28"/>
          <w:szCs w:val="28"/>
        </w:rPr>
      </w:pPr>
    </w:p>
    <w:p w14:paraId="2DC65092" w14:textId="77777777" w:rsidR="007D6FDF" w:rsidRDefault="007D6FDF" w:rsidP="007D6FDF">
      <w:pPr>
        <w:jc w:val="both"/>
        <w:rPr>
          <w:rFonts w:ascii="Arial" w:hAnsi="Arial" w:cs="Arial"/>
          <w:sz w:val="28"/>
          <w:szCs w:val="28"/>
        </w:rPr>
      </w:pPr>
      <w:r w:rsidRPr="007D6FDF">
        <w:rPr>
          <w:rFonts w:ascii="Arial" w:hAnsi="Arial" w:cs="Arial"/>
          <w:sz w:val="28"/>
          <w:szCs w:val="28"/>
        </w:rPr>
        <w:t xml:space="preserve">Asimismo, HR Ratings resaltó el comportamiento de los ingresos propios de Agua y Drenaje, que durante el primer semestre de 2026 fueron 13.2 por ciento superiores a los registrados en el mismo periodo del año anterior. </w:t>
      </w:r>
    </w:p>
    <w:p w14:paraId="23A95F67" w14:textId="77777777" w:rsidR="007D6FDF" w:rsidRDefault="007D6FDF" w:rsidP="007D6FDF">
      <w:pPr>
        <w:jc w:val="both"/>
        <w:rPr>
          <w:rFonts w:ascii="Arial" w:hAnsi="Arial" w:cs="Arial"/>
          <w:sz w:val="28"/>
          <w:szCs w:val="28"/>
        </w:rPr>
      </w:pPr>
    </w:p>
    <w:p w14:paraId="0A7044CF" w14:textId="2C0DACC2" w:rsidR="007D6FDF" w:rsidRPr="007D6FDF" w:rsidRDefault="007D6FDF" w:rsidP="007D6FDF">
      <w:pPr>
        <w:jc w:val="both"/>
        <w:rPr>
          <w:rFonts w:ascii="Arial" w:hAnsi="Arial" w:cs="Arial"/>
          <w:sz w:val="28"/>
          <w:szCs w:val="28"/>
        </w:rPr>
      </w:pPr>
      <w:r w:rsidRPr="007D6FDF">
        <w:rPr>
          <w:rFonts w:ascii="Arial" w:hAnsi="Arial" w:cs="Arial"/>
          <w:sz w:val="28"/>
          <w:szCs w:val="28"/>
        </w:rPr>
        <w:t>La calificadora prevé además una tendencia positiva en los márgenes operativos y en la generación de flujo libre de efectivo durante los próximos años, manteniendo estable el perfil de deuda del organismo.</w:t>
      </w:r>
    </w:p>
    <w:p w14:paraId="100C7E96" w14:textId="77777777" w:rsidR="007D6FDF" w:rsidRPr="007D6FDF" w:rsidRDefault="007D6FDF" w:rsidP="007D6FDF">
      <w:pPr>
        <w:jc w:val="both"/>
        <w:rPr>
          <w:rFonts w:ascii="Arial" w:hAnsi="Arial" w:cs="Arial"/>
          <w:sz w:val="28"/>
          <w:szCs w:val="28"/>
        </w:rPr>
      </w:pPr>
    </w:p>
    <w:p w14:paraId="4A60FB9C" w14:textId="77777777" w:rsidR="007D6FDF" w:rsidRPr="007D6FDF" w:rsidRDefault="007D6FDF" w:rsidP="007D6FDF">
      <w:pPr>
        <w:jc w:val="both"/>
        <w:rPr>
          <w:rFonts w:ascii="Arial" w:hAnsi="Arial" w:cs="Arial"/>
          <w:sz w:val="28"/>
          <w:szCs w:val="28"/>
        </w:rPr>
      </w:pPr>
      <w:r w:rsidRPr="007D6FDF">
        <w:rPr>
          <w:rFonts w:ascii="Arial" w:hAnsi="Arial" w:cs="Arial"/>
          <w:sz w:val="28"/>
          <w:szCs w:val="28"/>
        </w:rPr>
        <w:t>Otro de los indicadores destacados por la agencia, es la eficiencia comercial superior al 90 por ciento en el cobro de la facturación, una de las más elevadas entre los organismos operadores calificados en el país.</w:t>
      </w:r>
    </w:p>
    <w:p w14:paraId="05A17594" w14:textId="77777777" w:rsidR="007D6FDF" w:rsidRPr="007D6FDF" w:rsidRDefault="007D6FDF" w:rsidP="007D6FDF">
      <w:pPr>
        <w:jc w:val="both"/>
        <w:rPr>
          <w:rFonts w:ascii="Arial" w:hAnsi="Arial" w:cs="Arial"/>
          <w:sz w:val="28"/>
          <w:szCs w:val="28"/>
        </w:rPr>
      </w:pPr>
    </w:p>
    <w:p w14:paraId="0F969A0F" w14:textId="77777777" w:rsidR="007D6FDF" w:rsidRPr="007D6FDF" w:rsidRDefault="007D6FDF" w:rsidP="007D6FDF">
      <w:pPr>
        <w:jc w:val="both"/>
        <w:rPr>
          <w:rFonts w:ascii="Arial" w:hAnsi="Arial" w:cs="Arial"/>
          <w:sz w:val="28"/>
          <w:szCs w:val="28"/>
        </w:rPr>
      </w:pPr>
      <w:r w:rsidRPr="007D6FDF">
        <w:rPr>
          <w:rFonts w:ascii="Arial" w:hAnsi="Arial" w:cs="Arial"/>
          <w:sz w:val="28"/>
          <w:szCs w:val="28"/>
        </w:rPr>
        <w:t>Estos resultados respaldan la estrategia financiera de Agua y Drenaje, bajo el enfoque de eficiencia y cuidado de los recursos, para atender las necesidades de inversión y mantenimiento de la infraestructura hidráulica de Nuevo León.</w:t>
      </w:r>
    </w:p>
    <w:p w14:paraId="1FA0EB39" w14:textId="77777777" w:rsidR="007D6FDF" w:rsidRPr="007D6FDF" w:rsidRDefault="007D6FDF" w:rsidP="007D6FDF">
      <w:pPr>
        <w:jc w:val="both"/>
        <w:rPr>
          <w:rFonts w:ascii="Arial" w:hAnsi="Arial" w:cs="Arial"/>
          <w:sz w:val="28"/>
          <w:szCs w:val="28"/>
        </w:rPr>
      </w:pPr>
    </w:p>
    <w:p w14:paraId="10DD2A39" w14:textId="2045450E" w:rsidR="0092409C" w:rsidRDefault="007D6FDF" w:rsidP="007D6FDF">
      <w:pPr>
        <w:jc w:val="both"/>
        <w:rPr>
          <w:rFonts w:ascii="Arial" w:hAnsi="Arial" w:cs="Arial"/>
          <w:sz w:val="28"/>
          <w:szCs w:val="28"/>
        </w:rPr>
      </w:pPr>
      <w:r w:rsidRPr="007D6FDF">
        <w:rPr>
          <w:rFonts w:ascii="Arial" w:hAnsi="Arial" w:cs="Arial"/>
          <w:sz w:val="28"/>
          <w:szCs w:val="28"/>
        </w:rPr>
        <w:t>El documento completo de H</w:t>
      </w:r>
      <w:r>
        <w:rPr>
          <w:rFonts w:ascii="Arial" w:hAnsi="Arial" w:cs="Arial"/>
          <w:sz w:val="28"/>
          <w:szCs w:val="28"/>
        </w:rPr>
        <w:t xml:space="preserve">R Ratings puede consultarse en: </w:t>
      </w:r>
      <w:r w:rsidRPr="007D6FDF">
        <w:rPr>
          <w:rFonts w:ascii="Arial" w:hAnsi="Arial" w:cs="Arial"/>
          <w:sz w:val="28"/>
          <w:szCs w:val="28"/>
        </w:rPr>
        <w:t>https://www.hrratings.com/rating_detail.xhtml?rel=2674</w:t>
      </w:r>
    </w:p>
    <w:p w14:paraId="764B09DD" w14:textId="77777777" w:rsidR="0092409C" w:rsidRDefault="0092409C" w:rsidP="000D39CB">
      <w:pPr>
        <w:jc w:val="both"/>
        <w:rPr>
          <w:rFonts w:ascii="Arial" w:hAnsi="Arial" w:cs="Arial"/>
          <w:sz w:val="28"/>
          <w:szCs w:val="28"/>
        </w:rPr>
      </w:pPr>
    </w:p>
    <w:p w14:paraId="78763BE5" w14:textId="5117DFA3" w:rsidR="00EA29FA" w:rsidRPr="00EA29FA" w:rsidRDefault="00EA29FA" w:rsidP="00C90637">
      <w:pPr>
        <w:jc w:val="both"/>
        <w:rPr>
          <w:rFonts w:ascii="Arial" w:hAnsi="Arial" w:cs="Arial"/>
          <w:bCs/>
          <w:color w:val="323E4F"/>
        </w:rPr>
      </w:pPr>
    </w:p>
    <w:sectPr w:rsidR="00EA29FA"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9DA28" w14:textId="77777777" w:rsidR="00102A41" w:rsidRDefault="00102A41" w:rsidP="00E83348">
      <w:r>
        <w:separator/>
      </w:r>
    </w:p>
  </w:endnote>
  <w:endnote w:type="continuationSeparator" w:id="0">
    <w:p w14:paraId="52155F33" w14:textId="77777777" w:rsidR="00102A41" w:rsidRDefault="00102A41"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A6F3D7" w14:textId="77777777" w:rsidR="00102A41" w:rsidRDefault="00102A41" w:rsidP="00E83348">
      <w:r>
        <w:separator/>
      </w:r>
    </w:p>
  </w:footnote>
  <w:footnote w:type="continuationSeparator" w:id="0">
    <w:p w14:paraId="6AABEC6B" w14:textId="77777777" w:rsidR="00102A41" w:rsidRDefault="00102A41"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39160B7"/>
    <w:multiLevelType w:val="hybridMultilevel"/>
    <w:tmpl w:val="152A291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8"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9"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8"/>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9"/>
  </w:num>
  <w:num w:numId="17">
    <w:abstractNumId w:val="4"/>
  </w:num>
  <w:num w:numId="18">
    <w:abstractNumId w:val="11"/>
  </w:num>
  <w:num w:numId="19">
    <w:abstractNumId w:val="1"/>
  </w:num>
  <w:num w:numId="2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36E66"/>
    <w:rsid w:val="00042C08"/>
    <w:rsid w:val="0004426E"/>
    <w:rsid w:val="00051226"/>
    <w:rsid w:val="000607E0"/>
    <w:rsid w:val="000648AE"/>
    <w:rsid w:val="00066CFC"/>
    <w:rsid w:val="00067260"/>
    <w:rsid w:val="00067337"/>
    <w:rsid w:val="00070D09"/>
    <w:rsid w:val="000767EC"/>
    <w:rsid w:val="000A00B6"/>
    <w:rsid w:val="000A1946"/>
    <w:rsid w:val="000A60C8"/>
    <w:rsid w:val="000B2F61"/>
    <w:rsid w:val="000B3230"/>
    <w:rsid w:val="000B6924"/>
    <w:rsid w:val="000C7CF1"/>
    <w:rsid w:val="000D39CB"/>
    <w:rsid w:val="000D643B"/>
    <w:rsid w:val="000D7421"/>
    <w:rsid w:val="000E599E"/>
    <w:rsid w:val="000E5F86"/>
    <w:rsid w:val="000E75FC"/>
    <w:rsid w:val="000E7FE2"/>
    <w:rsid w:val="000F2A3A"/>
    <w:rsid w:val="000F2EAD"/>
    <w:rsid w:val="000F5951"/>
    <w:rsid w:val="0010008A"/>
    <w:rsid w:val="00102A41"/>
    <w:rsid w:val="00115911"/>
    <w:rsid w:val="00116D99"/>
    <w:rsid w:val="0013386D"/>
    <w:rsid w:val="00136576"/>
    <w:rsid w:val="00136A02"/>
    <w:rsid w:val="001464B2"/>
    <w:rsid w:val="0014741F"/>
    <w:rsid w:val="00153B1D"/>
    <w:rsid w:val="001545DF"/>
    <w:rsid w:val="0015532D"/>
    <w:rsid w:val="001565CE"/>
    <w:rsid w:val="00160274"/>
    <w:rsid w:val="00162279"/>
    <w:rsid w:val="00163D0D"/>
    <w:rsid w:val="00166902"/>
    <w:rsid w:val="00172991"/>
    <w:rsid w:val="001869DA"/>
    <w:rsid w:val="001927DB"/>
    <w:rsid w:val="00192BC9"/>
    <w:rsid w:val="001961EB"/>
    <w:rsid w:val="001A20A8"/>
    <w:rsid w:val="001A35C5"/>
    <w:rsid w:val="001A405E"/>
    <w:rsid w:val="001A5356"/>
    <w:rsid w:val="001B58B0"/>
    <w:rsid w:val="001C09B3"/>
    <w:rsid w:val="001D42EA"/>
    <w:rsid w:val="001D763A"/>
    <w:rsid w:val="001E5D02"/>
    <w:rsid w:val="001E6B57"/>
    <w:rsid w:val="001F38DD"/>
    <w:rsid w:val="001F3B6A"/>
    <w:rsid w:val="001F5807"/>
    <w:rsid w:val="001F610B"/>
    <w:rsid w:val="001F7033"/>
    <w:rsid w:val="00204A4A"/>
    <w:rsid w:val="00210B4B"/>
    <w:rsid w:val="00217F02"/>
    <w:rsid w:val="002209CA"/>
    <w:rsid w:val="0022358D"/>
    <w:rsid w:val="00223741"/>
    <w:rsid w:val="00230706"/>
    <w:rsid w:val="00242492"/>
    <w:rsid w:val="0024607F"/>
    <w:rsid w:val="00246CC5"/>
    <w:rsid w:val="00247A9E"/>
    <w:rsid w:val="00250D2E"/>
    <w:rsid w:val="002543DD"/>
    <w:rsid w:val="0025561A"/>
    <w:rsid w:val="00257952"/>
    <w:rsid w:val="00262F33"/>
    <w:rsid w:val="00295CEA"/>
    <w:rsid w:val="00297EA9"/>
    <w:rsid w:val="002A0171"/>
    <w:rsid w:val="002A60F8"/>
    <w:rsid w:val="002B15A0"/>
    <w:rsid w:val="002C5C37"/>
    <w:rsid w:val="002C6B37"/>
    <w:rsid w:val="002D17BB"/>
    <w:rsid w:val="002D2A54"/>
    <w:rsid w:val="002E5D52"/>
    <w:rsid w:val="002F14B9"/>
    <w:rsid w:val="002F2006"/>
    <w:rsid w:val="00302722"/>
    <w:rsid w:val="0030738E"/>
    <w:rsid w:val="0032037C"/>
    <w:rsid w:val="003336A3"/>
    <w:rsid w:val="003501A5"/>
    <w:rsid w:val="00351898"/>
    <w:rsid w:val="0035625A"/>
    <w:rsid w:val="00361D5D"/>
    <w:rsid w:val="00365F40"/>
    <w:rsid w:val="0037731A"/>
    <w:rsid w:val="003828CB"/>
    <w:rsid w:val="003844BF"/>
    <w:rsid w:val="00393782"/>
    <w:rsid w:val="003A315F"/>
    <w:rsid w:val="003A33FB"/>
    <w:rsid w:val="003A62D0"/>
    <w:rsid w:val="003B12B6"/>
    <w:rsid w:val="003B7C6F"/>
    <w:rsid w:val="003C65BA"/>
    <w:rsid w:val="003E3485"/>
    <w:rsid w:val="003F00B9"/>
    <w:rsid w:val="003F11AF"/>
    <w:rsid w:val="003F229B"/>
    <w:rsid w:val="003F50E0"/>
    <w:rsid w:val="003F6D38"/>
    <w:rsid w:val="00402F55"/>
    <w:rsid w:val="0042555F"/>
    <w:rsid w:val="00443F14"/>
    <w:rsid w:val="00450DF8"/>
    <w:rsid w:val="004539C9"/>
    <w:rsid w:val="004576B5"/>
    <w:rsid w:val="00464046"/>
    <w:rsid w:val="004667B8"/>
    <w:rsid w:val="00466EC5"/>
    <w:rsid w:val="00476173"/>
    <w:rsid w:val="0048558B"/>
    <w:rsid w:val="00486C41"/>
    <w:rsid w:val="004A211E"/>
    <w:rsid w:val="004A3C61"/>
    <w:rsid w:val="004A47CB"/>
    <w:rsid w:val="004B0C1E"/>
    <w:rsid w:val="004B100E"/>
    <w:rsid w:val="004B238A"/>
    <w:rsid w:val="004C3EBD"/>
    <w:rsid w:val="004C6B3C"/>
    <w:rsid w:val="004D4501"/>
    <w:rsid w:val="004D45AF"/>
    <w:rsid w:val="004F09AE"/>
    <w:rsid w:val="004F52E5"/>
    <w:rsid w:val="004F6F5A"/>
    <w:rsid w:val="00515B76"/>
    <w:rsid w:val="00517B7F"/>
    <w:rsid w:val="00530E91"/>
    <w:rsid w:val="005418C6"/>
    <w:rsid w:val="00545740"/>
    <w:rsid w:val="00561A6A"/>
    <w:rsid w:val="005634BE"/>
    <w:rsid w:val="00580ABF"/>
    <w:rsid w:val="00580E7B"/>
    <w:rsid w:val="00582ACA"/>
    <w:rsid w:val="00592F61"/>
    <w:rsid w:val="00595AA0"/>
    <w:rsid w:val="005A6904"/>
    <w:rsid w:val="005B246F"/>
    <w:rsid w:val="005C1539"/>
    <w:rsid w:val="005C2E37"/>
    <w:rsid w:val="005C3DCF"/>
    <w:rsid w:val="005C4837"/>
    <w:rsid w:val="005E0077"/>
    <w:rsid w:val="005E23D0"/>
    <w:rsid w:val="006152C6"/>
    <w:rsid w:val="00625AAC"/>
    <w:rsid w:val="006273DD"/>
    <w:rsid w:val="00632A06"/>
    <w:rsid w:val="00635D12"/>
    <w:rsid w:val="00637B54"/>
    <w:rsid w:val="006426DD"/>
    <w:rsid w:val="0064756B"/>
    <w:rsid w:val="006512FD"/>
    <w:rsid w:val="006519A8"/>
    <w:rsid w:val="00653915"/>
    <w:rsid w:val="00657ACD"/>
    <w:rsid w:val="00670EB3"/>
    <w:rsid w:val="0068304E"/>
    <w:rsid w:val="00687125"/>
    <w:rsid w:val="006955DB"/>
    <w:rsid w:val="006A4DCB"/>
    <w:rsid w:val="006B4960"/>
    <w:rsid w:val="006C139B"/>
    <w:rsid w:val="006C4920"/>
    <w:rsid w:val="006F7468"/>
    <w:rsid w:val="007023CA"/>
    <w:rsid w:val="00703B09"/>
    <w:rsid w:val="00703CAE"/>
    <w:rsid w:val="00703D40"/>
    <w:rsid w:val="00703F31"/>
    <w:rsid w:val="00706691"/>
    <w:rsid w:val="007164AD"/>
    <w:rsid w:val="007212EC"/>
    <w:rsid w:val="0073478E"/>
    <w:rsid w:val="00742AF4"/>
    <w:rsid w:val="00743710"/>
    <w:rsid w:val="00750512"/>
    <w:rsid w:val="0076120C"/>
    <w:rsid w:val="00767E8A"/>
    <w:rsid w:val="0078005E"/>
    <w:rsid w:val="007809B4"/>
    <w:rsid w:val="00785E41"/>
    <w:rsid w:val="00792245"/>
    <w:rsid w:val="00792C0F"/>
    <w:rsid w:val="00796BEE"/>
    <w:rsid w:val="007B067E"/>
    <w:rsid w:val="007C600B"/>
    <w:rsid w:val="007D065D"/>
    <w:rsid w:val="007D0897"/>
    <w:rsid w:val="007D317F"/>
    <w:rsid w:val="007D39B6"/>
    <w:rsid w:val="007D5100"/>
    <w:rsid w:val="007D6FDF"/>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70B15"/>
    <w:rsid w:val="008722D7"/>
    <w:rsid w:val="00874FCC"/>
    <w:rsid w:val="008751D4"/>
    <w:rsid w:val="0088134E"/>
    <w:rsid w:val="00885007"/>
    <w:rsid w:val="008916A8"/>
    <w:rsid w:val="008927AA"/>
    <w:rsid w:val="008A5F6A"/>
    <w:rsid w:val="008B1B97"/>
    <w:rsid w:val="008B362D"/>
    <w:rsid w:val="008B4159"/>
    <w:rsid w:val="008C32C7"/>
    <w:rsid w:val="008E3606"/>
    <w:rsid w:val="008F027D"/>
    <w:rsid w:val="008F0815"/>
    <w:rsid w:val="008F3ADF"/>
    <w:rsid w:val="008F7A5E"/>
    <w:rsid w:val="009019D2"/>
    <w:rsid w:val="00902F13"/>
    <w:rsid w:val="00906BB1"/>
    <w:rsid w:val="0092409C"/>
    <w:rsid w:val="00942455"/>
    <w:rsid w:val="0094501D"/>
    <w:rsid w:val="00956686"/>
    <w:rsid w:val="00956CE4"/>
    <w:rsid w:val="00962059"/>
    <w:rsid w:val="0096389E"/>
    <w:rsid w:val="009652C7"/>
    <w:rsid w:val="00971AEA"/>
    <w:rsid w:val="00975DDD"/>
    <w:rsid w:val="00975E43"/>
    <w:rsid w:val="0098054B"/>
    <w:rsid w:val="00985FC6"/>
    <w:rsid w:val="00986EAD"/>
    <w:rsid w:val="00993BE0"/>
    <w:rsid w:val="009A1085"/>
    <w:rsid w:val="009A2E62"/>
    <w:rsid w:val="009A4006"/>
    <w:rsid w:val="009A5EF6"/>
    <w:rsid w:val="009B3354"/>
    <w:rsid w:val="009C0D7E"/>
    <w:rsid w:val="009C0E25"/>
    <w:rsid w:val="009C13E4"/>
    <w:rsid w:val="009C7945"/>
    <w:rsid w:val="009D118E"/>
    <w:rsid w:val="00A04CDB"/>
    <w:rsid w:val="00A05501"/>
    <w:rsid w:val="00A05764"/>
    <w:rsid w:val="00A16AFD"/>
    <w:rsid w:val="00A20A24"/>
    <w:rsid w:val="00A22E89"/>
    <w:rsid w:val="00A23A57"/>
    <w:rsid w:val="00A37A12"/>
    <w:rsid w:val="00A43D26"/>
    <w:rsid w:val="00A52678"/>
    <w:rsid w:val="00A6713F"/>
    <w:rsid w:val="00A67C2C"/>
    <w:rsid w:val="00A705CA"/>
    <w:rsid w:val="00A70F16"/>
    <w:rsid w:val="00A8033B"/>
    <w:rsid w:val="00A87621"/>
    <w:rsid w:val="00A97C3E"/>
    <w:rsid w:val="00AA6A6A"/>
    <w:rsid w:val="00AA6D55"/>
    <w:rsid w:val="00AD06C4"/>
    <w:rsid w:val="00AF03DD"/>
    <w:rsid w:val="00B01173"/>
    <w:rsid w:val="00B06482"/>
    <w:rsid w:val="00B07242"/>
    <w:rsid w:val="00B16EC6"/>
    <w:rsid w:val="00B20134"/>
    <w:rsid w:val="00B30946"/>
    <w:rsid w:val="00B4275A"/>
    <w:rsid w:val="00B43473"/>
    <w:rsid w:val="00B6419E"/>
    <w:rsid w:val="00B717D0"/>
    <w:rsid w:val="00B72928"/>
    <w:rsid w:val="00BA2CCA"/>
    <w:rsid w:val="00BA575F"/>
    <w:rsid w:val="00BC1011"/>
    <w:rsid w:val="00BC31AB"/>
    <w:rsid w:val="00BD3EA4"/>
    <w:rsid w:val="00BD4455"/>
    <w:rsid w:val="00BD53A6"/>
    <w:rsid w:val="00BE252C"/>
    <w:rsid w:val="00C0205C"/>
    <w:rsid w:val="00C04E44"/>
    <w:rsid w:val="00C076B0"/>
    <w:rsid w:val="00C10575"/>
    <w:rsid w:val="00C147D7"/>
    <w:rsid w:val="00C15F5D"/>
    <w:rsid w:val="00C27504"/>
    <w:rsid w:val="00C402FB"/>
    <w:rsid w:val="00C40E3E"/>
    <w:rsid w:val="00C41D3C"/>
    <w:rsid w:val="00C44009"/>
    <w:rsid w:val="00C443E3"/>
    <w:rsid w:val="00C44E98"/>
    <w:rsid w:val="00C61FC4"/>
    <w:rsid w:val="00C639F7"/>
    <w:rsid w:val="00C71F65"/>
    <w:rsid w:val="00C730BD"/>
    <w:rsid w:val="00C90637"/>
    <w:rsid w:val="00C955EB"/>
    <w:rsid w:val="00CA29D0"/>
    <w:rsid w:val="00CB116B"/>
    <w:rsid w:val="00CD5508"/>
    <w:rsid w:val="00CD5526"/>
    <w:rsid w:val="00CD6584"/>
    <w:rsid w:val="00CE7AFA"/>
    <w:rsid w:val="00CF3696"/>
    <w:rsid w:val="00CF44B7"/>
    <w:rsid w:val="00D07965"/>
    <w:rsid w:val="00D10FF3"/>
    <w:rsid w:val="00D14E01"/>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7DD3"/>
    <w:rsid w:val="00DB017A"/>
    <w:rsid w:val="00DC11C2"/>
    <w:rsid w:val="00DC2841"/>
    <w:rsid w:val="00DC39E5"/>
    <w:rsid w:val="00DD570D"/>
    <w:rsid w:val="00DE18D3"/>
    <w:rsid w:val="00DE221C"/>
    <w:rsid w:val="00DF0FC2"/>
    <w:rsid w:val="00DF16D9"/>
    <w:rsid w:val="00DF19F0"/>
    <w:rsid w:val="00DF5ACB"/>
    <w:rsid w:val="00DF6142"/>
    <w:rsid w:val="00E06CC7"/>
    <w:rsid w:val="00E10C35"/>
    <w:rsid w:val="00E215A1"/>
    <w:rsid w:val="00E2683D"/>
    <w:rsid w:val="00E3081F"/>
    <w:rsid w:val="00E3316A"/>
    <w:rsid w:val="00E4053E"/>
    <w:rsid w:val="00E43048"/>
    <w:rsid w:val="00E50923"/>
    <w:rsid w:val="00E545C2"/>
    <w:rsid w:val="00E612D6"/>
    <w:rsid w:val="00E626AA"/>
    <w:rsid w:val="00E6407D"/>
    <w:rsid w:val="00E6715E"/>
    <w:rsid w:val="00E71944"/>
    <w:rsid w:val="00E7224C"/>
    <w:rsid w:val="00E83348"/>
    <w:rsid w:val="00E9212A"/>
    <w:rsid w:val="00E92581"/>
    <w:rsid w:val="00E93E9E"/>
    <w:rsid w:val="00EA29FA"/>
    <w:rsid w:val="00EA49EE"/>
    <w:rsid w:val="00EC3A89"/>
    <w:rsid w:val="00EC676A"/>
    <w:rsid w:val="00EC762B"/>
    <w:rsid w:val="00ED11F7"/>
    <w:rsid w:val="00EE125E"/>
    <w:rsid w:val="00EF0F4A"/>
    <w:rsid w:val="00F23455"/>
    <w:rsid w:val="00F27183"/>
    <w:rsid w:val="00F4034B"/>
    <w:rsid w:val="00F5143F"/>
    <w:rsid w:val="00F57F4B"/>
    <w:rsid w:val="00F663FF"/>
    <w:rsid w:val="00F7066A"/>
    <w:rsid w:val="00F70DFF"/>
    <w:rsid w:val="00F7418C"/>
    <w:rsid w:val="00F75DE7"/>
    <w:rsid w:val="00F97C2A"/>
    <w:rsid w:val="00FA078D"/>
    <w:rsid w:val="00FA13EB"/>
    <w:rsid w:val="00FA6CB6"/>
    <w:rsid w:val="00FB2045"/>
    <w:rsid w:val="00FC06A1"/>
    <w:rsid w:val="00FC5D59"/>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D97D8C9-CEC0-4BF1-946E-D0435BED4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356</Words>
  <Characters>1963</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Prensa</cp:lastModifiedBy>
  <cp:revision>2</cp:revision>
  <cp:lastPrinted>2016-10-21T20:06:00Z</cp:lastPrinted>
  <dcterms:created xsi:type="dcterms:W3CDTF">2026-10-01T20:15:00Z</dcterms:created>
  <dcterms:modified xsi:type="dcterms:W3CDTF">2026-10-01T20:15:00Z</dcterms:modified>
</cp:coreProperties>
</file>