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4AE58B" w14:textId="6DB0F2E0" w:rsidR="00923AC7" w:rsidRPr="00923AC7" w:rsidRDefault="00923AC7" w:rsidP="00923AC7">
      <w:pPr>
        <w:jc w:val="right"/>
        <w:rPr>
          <w:rFonts w:ascii="Arial" w:eastAsiaTheme="minorEastAsia" w:hAnsi="Arial" w:cs="Arial"/>
          <w:b/>
          <w:sz w:val="22"/>
          <w:lang w:val="es-ES" w:eastAsia="en-US"/>
        </w:rPr>
      </w:pPr>
      <w:bookmarkStart w:id="0" w:name="_GoBack"/>
      <w:bookmarkEnd w:id="0"/>
      <w:r w:rsidRPr="00923AC7">
        <w:rPr>
          <w:rFonts w:ascii="Arial" w:eastAsiaTheme="minorEastAsia" w:hAnsi="Arial" w:cs="Arial"/>
          <w:b/>
          <w:sz w:val="22"/>
          <w:lang w:val="es-ES" w:eastAsia="en-US"/>
        </w:rPr>
        <w:t>CP/050</w:t>
      </w:r>
      <w:r w:rsidR="0070119A">
        <w:rPr>
          <w:rFonts w:ascii="Arial" w:eastAsiaTheme="minorEastAsia" w:hAnsi="Arial" w:cs="Arial"/>
          <w:b/>
          <w:sz w:val="22"/>
          <w:lang w:val="es-ES" w:eastAsia="en-US"/>
        </w:rPr>
        <w:t>4</w:t>
      </w:r>
      <w:r w:rsidRPr="00923AC7">
        <w:rPr>
          <w:rFonts w:ascii="Arial" w:eastAsiaTheme="minorEastAsia" w:hAnsi="Arial" w:cs="Arial"/>
          <w:b/>
          <w:sz w:val="22"/>
          <w:lang w:val="es-ES" w:eastAsia="en-US"/>
        </w:rPr>
        <w:t>/2026</w:t>
      </w:r>
    </w:p>
    <w:p w14:paraId="1554C33D" w14:textId="77777777" w:rsidR="00923AC7" w:rsidRPr="00923AC7" w:rsidRDefault="00923AC7" w:rsidP="00923AC7">
      <w:pPr>
        <w:jc w:val="right"/>
        <w:rPr>
          <w:rFonts w:ascii="Arial" w:eastAsiaTheme="minorEastAsia" w:hAnsi="Arial" w:cs="Arial"/>
          <w:sz w:val="22"/>
          <w:lang w:val="es-ES" w:eastAsia="en-US"/>
        </w:rPr>
      </w:pPr>
      <w:r w:rsidRPr="00923AC7">
        <w:rPr>
          <w:rFonts w:ascii="Arial" w:eastAsiaTheme="minorEastAsia" w:hAnsi="Arial" w:cs="Arial"/>
          <w:sz w:val="22"/>
          <w:lang w:val="es-ES" w:eastAsia="en-US"/>
        </w:rPr>
        <w:t>31 de marzo de 2026</w:t>
      </w:r>
    </w:p>
    <w:p w14:paraId="6FD2C869" w14:textId="77777777" w:rsidR="00923AC7" w:rsidRPr="00923AC7" w:rsidRDefault="00923AC7" w:rsidP="00923AC7">
      <w:pPr>
        <w:jc w:val="right"/>
        <w:rPr>
          <w:rFonts w:ascii="Arial" w:eastAsiaTheme="minorEastAsia" w:hAnsi="Arial" w:cs="Arial"/>
          <w:sz w:val="22"/>
          <w:lang w:val="es-ES" w:eastAsia="en-US"/>
        </w:rPr>
      </w:pPr>
      <w:r w:rsidRPr="00923AC7">
        <w:rPr>
          <w:rFonts w:ascii="Arial" w:eastAsiaTheme="minorEastAsia" w:hAnsi="Arial" w:cs="Arial"/>
          <w:sz w:val="22"/>
          <w:lang w:val="es-ES" w:eastAsia="en-US"/>
        </w:rPr>
        <w:t xml:space="preserve"> </w:t>
      </w:r>
    </w:p>
    <w:p w14:paraId="3999ACBE" w14:textId="20E7E81D" w:rsidR="0041754E" w:rsidRDefault="003D7A5B" w:rsidP="00F56B71">
      <w:pPr>
        <w:tabs>
          <w:tab w:val="left" w:pos="945"/>
        </w:tabs>
        <w:spacing w:before="240" w:after="240"/>
        <w:jc w:val="center"/>
        <w:rPr>
          <w:rFonts w:ascii="Arial" w:eastAsia="Arial" w:hAnsi="Arial" w:cs="Arial"/>
          <w:b/>
          <w:bCs/>
          <w:sz w:val="28"/>
          <w:szCs w:val="28"/>
        </w:rPr>
      </w:pPr>
      <w:r w:rsidRPr="003D7A5B">
        <w:rPr>
          <w:rFonts w:ascii="Arial" w:eastAsia="Arial" w:hAnsi="Arial" w:cs="Arial"/>
          <w:b/>
          <w:bCs/>
          <w:sz w:val="28"/>
          <w:szCs w:val="28"/>
        </w:rPr>
        <w:t>OBTIENE A</w:t>
      </w:r>
      <w:r>
        <w:rPr>
          <w:rFonts w:ascii="Arial" w:eastAsia="Arial" w:hAnsi="Arial" w:cs="Arial"/>
          <w:b/>
          <w:bCs/>
          <w:sz w:val="28"/>
          <w:szCs w:val="28"/>
        </w:rPr>
        <w:t>GUA Y DRENAJE</w:t>
      </w:r>
      <w:r w:rsidRPr="003D7A5B">
        <w:rPr>
          <w:rFonts w:ascii="Arial" w:eastAsia="Arial" w:hAnsi="Arial" w:cs="Arial"/>
          <w:b/>
          <w:bCs/>
          <w:sz w:val="28"/>
          <w:szCs w:val="28"/>
        </w:rPr>
        <w:t xml:space="preserve"> CALIFICACIÓN MÁXIMA EN CRÉDITO</w:t>
      </w:r>
    </w:p>
    <w:p w14:paraId="3120317F" w14:textId="484348E5" w:rsidR="003D7A5B" w:rsidRPr="003D7A5B" w:rsidRDefault="003D7A5B" w:rsidP="003D7A5B">
      <w:pPr>
        <w:numPr>
          <w:ilvl w:val="0"/>
          <w:numId w:val="1"/>
        </w:numPr>
        <w:pBdr>
          <w:top w:val="nil"/>
          <w:left w:val="nil"/>
          <w:bottom w:val="nil"/>
          <w:right w:val="nil"/>
          <w:between w:val="nil"/>
        </w:pBdr>
        <w:spacing w:after="200" w:line="276" w:lineRule="auto"/>
        <w:jc w:val="both"/>
        <w:rPr>
          <w:rFonts w:ascii="Arial" w:eastAsia="Arial" w:hAnsi="Arial" w:cs="Arial"/>
          <w:i/>
          <w:iCs/>
          <w:sz w:val="22"/>
          <w:szCs w:val="22"/>
        </w:rPr>
      </w:pPr>
      <w:r w:rsidRPr="003D7A5B">
        <w:rPr>
          <w:rFonts w:ascii="Arial" w:eastAsia="Arial" w:hAnsi="Arial" w:cs="Arial"/>
          <w:i/>
          <w:iCs/>
          <w:sz w:val="22"/>
          <w:szCs w:val="22"/>
        </w:rPr>
        <w:t>Fitch Ratings asigna “</w:t>
      </w:r>
      <w:proofErr w:type="gramStart"/>
      <w:r w:rsidRPr="003D7A5B">
        <w:rPr>
          <w:rFonts w:ascii="Arial" w:eastAsia="Arial" w:hAnsi="Arial" w:cs="Arial"/>
          <w:i/>
          <w:iCs/>
          <w:sz w:val="22"/>
          <w:szCs w:val="22"/>
        </w:rPr>
        <w:t>AAA(</w:t>
      </w:r>
      <w:proofErr w:type="spellStart"/>
      <w:proofErr w:type="gramEnd"/>
      <w:r w:rsidRPr="003D7A5B">
        <w:rPr>
          <w:rFonts w:ascii="Arial" w:eastAsia="Arial" w:hAnsi="Arial" w:cs="Arial"/>
          <w:i/>
          <w:iCs/>
          <w:sz w:val="22"/>
          <w:szCs w:val="22"/>
        </w:rPr>
        <w:t>mex</w:t>
      </w:r>
      <w:proofErr w:type="spellEnd"/>
      <w:r w:rsidRPr="003D7A5B">
        <w:rPr>
          <w:rFonts w:ascii="Arial" w:eastAsia="Arial" w:hAnsi="Arial" w:cs="Arial"/>
          <w:i/>
          <w:iCs/>
          <w:sz w:val="22"/>
          <w:szCs w:val="22"/>
        </w:rPr>
        <w:t>)</w:t>
      </w:r>
      <w:proofErr w:type="spellStart"/>
      <w:r w:rsidRPr="003D7A5B">
        <w:rPr>
          <w:rFonts w:ascii="Arial" w:eastAsia="Arial" w:hAnsi="Arial" w:cs="Arial"/>
          <w:i/>
          <w:iCs/>
          <w:sz w:val="22"/>
          <w:szCs w:val="22"/>
        </w:rPr>
        <w:t>vra</w:t>
      </w:r>
      <w:proofErr w:type="spellEnd"/>
      <w:r w:rsidRPr="003D7A5B">
        <w:rPr>
          <w:rFonts w:ascii="Arial" w:eastAsia="Arial" w:hAnsi="Arial" w:cs="Arial"/>
          <w:i/>
          <w:iCs/>
          <w:sz w:val="22"/>
          <w:szCs w:val="22"/>
        </w:rPr>
        <w:t>” a crédito de AyD, la máxima calificación en este tipo de financiamientos.</w:t>
      </w:r>
    </w:p>
    <w:p w14:paraId="1D40031D" w14:textId="3BABCD47" w:rsidR="0041754E" w:rsidRPr="003D7A5B" w:rsidRDefault="003D7A5B" w:rsidP="003D7A5B">
      <w:pPr>
        <w:numPr>
          <w:ilvl w:val="0"/>
          <w:numId w:val="1"/>
        </w:numPr>
        <w:pBdr>
          <w:top w:val="nil"/>
          <w:left w:val="nil"/>
          <w:bottom w:val="nil"/>
          <w:right w:val="nil"/>
          <w:between w:val="nil"/>
        </w:pBdr>
        <w:spacing w:after="200" w:line="276" w:lineRule="auto"/>
        <w:jc w:val="both"/>
        <w:rPr>
          <w:rFonts w:ascii="Arial" w:eastAsia="Arial" w:hAnsi="Arial" w:cs="Arial"/>
          <w:i/>
          <w:iCs/>
          <w:sz w:val="22"/>
          <w:szCs w:val="22"/>
        </w:rPr>
      </w:pPr>
      <w:r w:rsidRPr="003D7A5B">
        <w:rPr>
          <w:rFonts w:ascii="Arial" w:eastAsia="Arial" w:hAnsi="Arial" w:cs="Arial"/>
          <w:i/>
          <w:iCs/>
          <w:sz w:val="22"/>
          <w:szCs w:val="22"/>
        </w:rPr>
        <w:t>Destaca estructura sólida, ingresos estables y alta capacidad de pago para impulsar infraestructura hídrica.</w:t>
      </w:r>
    </w:p>
    <w:p w14:paraId="3E1EA73C" w14:textId="3914FA98" w:rsidR="003D7A5B" w:rsidRDefault="00294E30" w:rsidP="003D7A5B">
      <w:pPr>
        <w:jc w:val="both"/>
        <w:rPr>
          <w:rFonts w:ascii="Arial" w:eastAsia="Arial" w:hAnsi="Arial" w:cs="Arial"/>
        </w:rPr>
      </w:pPr>
      <w:r>
        <w:rPr>
          <w:rFonts w:ascii="Arial" w:eastAsia="Arial" w:hAnsi="Arial" w:cs="Arial"/>
          <w:b/>
          <w:bCs/>
          <w:color w:val="000000"/>
        </w:rPr>
        <w:t xml:space="preserve"> Monterrey</w:t>
      </w:r>
      <w:r w:rsidR="008216E0">
        <w:rPr>
          <w:rFonts w:ascii="Arial" w:eastAsia="Arial" w:hAnsi="Arial" w:cs="Arial"/>
          <w:b/>
          <w:bCs/>
          <w:color w:val="000000"/>
        </w:rPr>
        <w:t>, Nuevo León.</w:t>
      </w:r>
      <w:r w:rsidR="008216E0">
        <w:rPr>
          <w:rFonts w:ascii="Arial" w:eastAsia="Arial" w:hAnsi="Arial" w:cs="Arial"/>
          <w:color w:val="000000"/>
        </w:rPr>
        <w:t xml:space="preserve"> – </w:t>
      </w:r>
      <w:r w:rsidR="003D7A5B" w:rsidRPr="003D7A5B">
        <w:rPr>
          <w:rFonts w:ascii="Arial" w:eastAsia="Arial" w:hAnsi="Arial" w:cs="Arial"/>
        </w:rPr>
        <w:t>La agencia calificadora Fitch Ratings, una de las agencias de riesgos internacionales más prestigiadas, asignó la calificación nacional de largo plazo “AAA(</w:t>
      </w:r>
      <w:proofErr w:type="spellStart"/>
      <w:r w:rsidR="003D7A5B" w:rsidRPr="003D7A5B">
        <w:rPr>
          <w:rFonts w:ascii="Arial" w:eastAsia="Arial" w:hAnsi="Arial" w:cs="Arial"/>
        </w:rPr>
        <w:t>mex</w:t>
      </w:r>
      <w:proofErr w:type="spellEnd"/>
      <w:r w:rsidR="003D7A5B" w:rsidRPr="003D7A5B">
        <w:rPr>
          <w:rFonts w:ascii="Arial" w:eastAsia="Arial" w:hAnsi="Arial" w:cs="Arial"/>
        </w:rPr>
        <w:t>)</w:t>
      </w:r>
      <w:proofErr w:type="spellStart"/>
      <w:r w:rsidR="003D7A5B" w:rsidRPr="003D7A5B">
        <w:rPr>
          <w:rFonts w:ascii="Arial" w:eastAsia="Arial" w:hAnsi="Arial" w:cs="Arial"/>
        </w:rPr>
        <w:t>vra</w:t>
      </w:r>
      <w:proofErr w:type="spellEnd"/>
      <w:r w:rsidR="003D7A5B" w:rsidRPr="003D7A5B">
        <w:rPr>
          <w:rFonts w:ascii="Arial" w:eastAsia="Arial" w:hAnsi="Arial" w:cs="Arial"/>
        </w:rPr>
        <w:t xml:space="preserve">” a un crédito contratado por Servicios de Agua y Drenaje de Monterrey (AyD o el Organismo) con Corporación Financiera </w:t>
      </w:r>
      <w:proofErr w:type="gramStart"/>
      <w:r w:rsidR="003D7A5B" w:rsidRPr="003D7A5B">
        <w:rPr>
          <w:rFonts w:ascii="Arial" w:eastAsia="Arial" w:hAnsi="Arial" w:cs="Arial"/>
        </w:rPr>
        <w:t>de</w:t>
      </w:r>
      <w:proofErr w:type="gramEnd"/>
      <w:r w:rsidR="003D7A5B" w:rsidRPr="003D7A5B">
        <w:rPr>
          <w:rFonts w:ascii="Arial" w:eastAsia="Arial" w:hAnsi="Arial" w:cs="Arial"/>
        </w:rPr>
        <w:t xml:space="preserve"> América del Norte (</w:t>
      </w:r>
      <w:proofErr w:type="spellStart"/>
      <w:r w:rsidR="003D7A5B" w:rsidRPr="003D7A5B">
        <w:rPr>
          <w:rFonts w:ascii="Arial" w:eastAsia="Arial" w:hAnsi="Arial" w:cs="Arial"/>
        </w:rPr>
        <w:t>Cofidan</w:t>
      </w:r>
      <w:proofErr w:type="spellEnd"/>
      <w:r w:rsidR="003D7A5B" w:rsidRPr="003D7A5B">
        <w:rPr>
          <w:rFonts w:ascii="Arial" w:eastAsia="Arial" w:hAnsi="Arial" w:cs="Arial"/>
        </w:rPr>
        <w:t>), por un monto de hasta 300 millones de pesos.</w:t>
      </w:r>
    </w:p>
    <w:p w14:paraId="74DE59BB" w14:textId="77777777" w:rsidR="003D7A5B" w:rsidRPr="003D7A5B" w:rsidRDefault="003D7A5B" w:rsidP="003D7A5B">
      <w:pPr>
        <w:jc w:val="both"/>
        <w:rPr>
          <w:rFonts w:ascii="Arial" w:eastAsia="Arial" w:hAnsi="Arial" w:cs="Arial"/>
          <w:color w:val="000000"/>
        </w:rPr>
      </w:pPr>
    </w:p>
    <w:p w14:paraId="1B3EEC3A" w14:textId="77777777" w:rsidR="003D7A5B" w:rsidRDefault="003D7A5B" w:rsidP="003D7A5B">
      <w:pPr>
        <w:jc w:val="both"/>
        <w:rPr>
          <w:rFonts w:ascii="Arial" w:eastAsia="Arial" w:hAnsi="Arial" w:cs="Arial"/>
        </w:rPr>
      </w:pPr>
      <w:r w:rsidRPr="003D7A5B">
        <w:rPr>
          <w:rFonts w:ascii="Arial" w:eastAsia="Arial" w:hAnsi="Arial" w:cs="Arial"/>
        </w:rPr>
        <w:t xml:space="preserve">De acuerdo con el comunicado de la calificadora, destacan las acciones implementadas por la Dirección de Finanzas tales como la baja volatilidad de los ingresos, las coberturas de tasas de interés contratadas para el servicio de la deuda, así como el diseño de su estructura tarifaría con base en sus principales costos. </w:t>
      </w:r>
    </w:p>
    <w:p w14:paraId="0C6DC082" w14:textId="77777777" w:rsidR="003D7A5B" w:rsidRDefault="003D7A5B" w:rsidP="003D7A5B">
      <w:pPr>
        <w:jc w:val="both"/>
        <w:rPr>
          <w:rFonts w:ascii="Arial" w:eastAsia="Arial" w:hAnsi="Arial" w:cs="Arial"/>
        </w:rPr>
      </w:pPr>
    </w:p>
    <w:p w14:paraId="15B15669" w14:textId="54968F8F" w:rsidR="003D7A5B" w:rsidRPr="003D7A5B" w:rsidRDefault="003D7A5B" w:rsidP="003D7A5B">
      <w:pPr>
        <w:jc w:val="both"/>
        <w:rPr>
          <w:rFonts w:ascii="Arial" w:eastAsia="Arial" w:hAnsi="Arial" w:cs="Arial"/>
        </w:rPr>
      </w:pPr>
      <w:r w:rsidRPr="003D7A5B">
        <w:rPr>
          <w:rFonts w:ascii="Arial" w:eastAsia="Arial" w:hAnsi="Arial" w:cs="Arial"/>
        </w:rPr>
        <w:t>Los recursos de este financiamiento estarán destinados a inversión pública productiva, lo que permitirá a AyD continuar con el desarrollo de infraestructura hídrica en beneficio de la población de Nuevo León.</w:t>
      </w:r>
    </w:p>
    <w:p w14:paraId="4F4CA9B9" w14:textId="77777777" w:rsidR="003D7A5B" w:rsidRPr="003D7A5B" w:rsidRDefault="003D7A5B" w:rsidP="003D7A5B">
      <w:pPr>
        <w:jc w:val="both"/>
        <w:rPr>
          <w:rFonts w:ascii="Arial" w:eastAsia="Arial" w:hAnsi="Arial" w:cs="Arial"/>
        </w:rPr>
      </w:pPr>
    </w:p>
    <w:p w14:paraId="4B180528" w14:textId="77777777" w:rsidR="003D7A5B" w:rsidRPr="003D7A5B" w:rsidRDefault="003D7A5B" w:rsidP="003D7A5B">
      <w:pPr>
        <w:jc w:val="both"/>
        <w:rPr>
          <w:rFonts w:ascii="Arial" w:eastAsia="Arial" w:hAnsi="Arial" w:cs="Arial"/>
        </w:rPr>
      </w:pPr>
      <w:r w:rsidRPr="003D7A5B">
        <w:rPr>
          <w:rFonts w:ascii="Arial" w:eastAsia="Arial" w:hAnsi="Arial" w:cs="Arial"/>
        </w:rPr>
        <w:t xml:space="preserve">Esta calificación, la más alta en la escala nacional para este tipo de financiamientos, refleja la fortaleza de la estructura de sus créditos, así </w:t>
      </w:r>
    </w:p>
    <w:p w14:paraId="738ABF65" w14:textId="77777777" w:rsidR="003D7A5B" w:rsidRPr="003D7A5B" w:rsidRDefault="003D7A5B" w:rsidP="003D7A5B">
      <w:pPr>
        <w:jc w:val="both"/>
        <w:rPr>
          <w:rFonts w:ascii="Arial" w:eastAsia="Arial" w:hAnsi="Arial" w:cs="Arial"/>
        </w:rPr>
      </w:pPr>
      <w:proofErr w:type="gramStart"/>
      <w:r w:rsidRPr="003D7A5B">
        <w:rPr>
          <w:rFonts w:ascii="Arial" w:eastAsia="Arial" w:hAnsi="Arial" w:cs="Arial"/>
        </w:rPr>
        <w:t>como</w:t>
      </w:r>
      <w:proofErr w:type="gramEnd"/>
      <w:r w:rsidRPr="003D7A5B">
        <w:rPr>
          <w:rFonts w:ascii="Arial" w:eastAsia="Arial" w:hAnsi="Arial" w:cs="Arial"/>
        </w:rPr>
        <w:t xml:space="preserve"> la calidad crediticia del organismo. Con este resultado, AyD reafirma su compromiso con una gestión financiera responsable, que le permite acceder a esquemas de financiamiento sólidos y con las mejores condiciones de mercado para seguir fortaleciendo sus proyectos estratégicos.</w:t>
      </w:r>
    </w:p>
    <w:p w14:paraId="539E1EC4" w14:textId="77777777" w:rsidR="00A011E0" w:rsidRDefault="00A011E0" w:rsidP="003D7A5B">
      <w:pPr>
        <w:jc w:val="both"/>
        <w:rPr>
          <w:rFonts w:ascii="Arial" w:eastAsia="Arial" w:hAnsi="Arial" w:cs="Arial"/>
        </w:rPr>
      </w:pPr>
    </w:p>
    <w:p w14:paraId="26C1F2C7" w14:textId="38522C53" w:rsidR="0041754E" w:rsidRDefault="003D7A5B" w:rsidP="003D7A5B">
      <w:pPr>
        <w:jc w:val="both"/>
        <w:rPr>
          <w:rFonts w:ascii="Arial" w:eastAsia="Arial" w:hAnsi="Arial" w:cs="Arial"/>
        </w:rPr>
      </w:pPr>
      <w:r w:rsidRPr="003D7A5B">
        <w:rPr>
          <w:rFonts w:ascii="Arial" w:eastAsia="Arial" w:hAnsi="Arial" w:cs="Arial"/>
        </w:rPr>
        <w:t xml:space="preserve">En la siguiente liga se puede encontrar el documento completo de la agencia calificadora de crédito: </w:t>
      </w:r>
      <w:hyperlink r:id="rId8" w:history="1">
        <w:r w:rsidRPr="007D47B3">
          <w:rPr>
            <w:rStyle w:val="Hipervnculo"/>
            <w:rFonts w:ascii="Arial" w:eastAsia="Arial" w:hAnsi="Arial" w:cs="Arial"/>
          </w:rPr>
          <w:t>https://www.fitchratings.com/research/es/international-public-finance/fitch-assigns-aaa-mex-vra-to-one-bank-loan-of-sadm-30-03-2026</w:t>
        </w:r>
      </w:hyperlink>
    </w:p>
    <w:p w14:paraId="0FF3A140" w14:textId="77777777" w:rsidR="003D7A5B" w:rsidRDefault="003D7A5B" w:rsidP="003D7A5B">
      <w:pPr>
        <w:jc w:val="both"/>
        <w:rPr>
          <w:rFonts w:ascii="Arial" w:eastAsia="Arial" w:hAnsi="Arial" w:cs="Arial"/>
        </w:rPr>
      </w:pPr>
    </w:p>
    <w:sectPr w:rsidR="003D7A5B">
      <w:headerReference w:type="default" r:id="rId9"/>
      <w:footerReference w:type="default" r:id="rId10"/>
      <w:pgSz w:w="12240" w:h="15840"/>
      <w:pgMar w:top="2516" w:right="1800" w:bottom="1618" w:left="1800" w:header="720" w:footer="15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152334" w14:textId="77777777" w:rsidR="00A3366E" w:rsidRDefault="00A3366E">
      <w:r>
        <w:separator/>
      </w:r>
    </w:p>
  </w:endnote>
  <w:endnote w:type="continuationSeparator" w:id="0">
    <w:p w14:paraId="749544EC" w14:textId="77777777" w:rsidR="00A3366E" w:rsidRDefault="00A33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embedRegular r:id="rId1" w:fontKey="{5D8F164B-B018-48EA-9B0C-999CDA235698}"/>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BA5DFF9F-7F7C-4A16-AFDF-5BF4E95DE642}"/>
    <w:embedBold r:id="rId3" w:fontKey="{D626CF52-C8F4-49AE-AF53-F38B4CB3DFC8}"/>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embedRegular r:id="rId4" w:fontKey="{E6104A42-CD13-4B4B-BB60-B5E99F700A83}"/>
  </w:font>
  <w:font w:name="Georgia">
    <w:panose1 w:val="02040502050405020303"/>
    <w:charset w:val="00"/>
    <w:family w:val="roman"/>
    <w:pitch w:val="variable"/>
    <w:sig w:usb0="00000287" w:usb1="00000000" w:usb2="00000000" w:usb3="00000000" w:csb0="0000009F" w:csb1="00000000"/>
    <w:embedItalic r:id="rId5" w:fontKey="{D1286AD7-884B-4183-91CB-C23A469371F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20B3C7" w14:textId="77777777" w:rsidR="0041754E" w:rsidRDefault="008216E0">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14:anchorId="13D2CD5C" wp14:editId="191D0124">
          <wp:simplePos x="0" y="0"/>
          <wp:positionH relativeFrom="column">
            <wp:posOffset>-1142993</wp:posOffset>
          </wp:positionH>
          <wp:positionV relativeFrom="paragraph">
            <wp:posOffset>32384</wp:posOffset>
          </wp:positionV>
          <wp:extent cx="7783830" cy="1337945"/>
          <wp:effectExtent l="0" t="0" r="0" b="0"/>
          <wp:wrapNone/>
          <wp:docPr id="3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86716"/>
                  <a:stretch>
                    <a:fillRect/>
                  </a:stretch>
                </pic:blipFill>
                <pic:spPr>
                  <a:xfrm>
                    <a:off x="0" y="0"/>
                    <a:ext cx="7783830" cy="1337945"/>
                  </a:xfrm>
                  <a:prstGeom prst="rect">
                    <a:avLst/>
                  </a:prstGeom>
                  <a:ln/>
                </pic:spPr>
              </pic:pic>
            </a:graphicData>
          </a:graphic>
        </wp:anchor>
      </w:drawing>
    </w:r>
  </w:p>
  <w:p w14:paraId="0D9DC4AB" w14:textId="77777777" w:rsidR="0041754E" w:rsidRDefault="0041754E">
    <w:pPr>
      <w:pBdr>
        <w:top w:val="nil"/>
        <w:left w:val="nil"/>
        <w:bottom w:val="nil"/>
        <w:right w:val="nil"/>
        <w:between w:val="nil"/>
      </w:pBdr>
      <w:tabs>
        <w:tab w:val="center" w:pos="4320"/>
        <w:tab w:val="right" w:pos="8640"/>
      </w:tabs>
      <w:rPr>
        <w:color w:val="000000"/>
      </w:rPr>
    </w:pPr>
  </w:p>
  <w:p w14:paraId="788E92D5" w14:textId="77777777" w:rsidR="0041754E" w:rsidRDefault="0041754E">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BB17BE" w14:textId="77777777" w:rsidR="00A3366E" w:rsidRDefault="00A3366E">
      <w:r>
        <w:separator/>
      </w:r>
    </w:p>
  </w:footnote>
  <w:footnote w:type="continuationSeparator" w:id="0">
    <w:p w14:paraId="7BCF625C" w14:textId="77777777" w:rsidR="00A3366E" w:rsidRDefault="00A336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74BD8" w14:textId="77777777" w:rsidR="0041754E" w:rsidRDefault="008216E0">
    <w:pPr>
      <w:pBdr>
        <w:top w:val="nil"/>
        <w:left w:val="nil"/>
        <w:bottom w:val="nil"/>
        <w:right w:val="nil"/>
        <w:between w:val="nil"/>
      </w:pBdr>
      <w:tabs>
        <w:tab w:val="center" w:pos="4320"/>
        <w:tab w:val="right" w:pos="8640"/>
        <w:tab w:val="left" w:pos="1173"/>
      </w:tabs>
      <w:rPr>
        <w:color w:val="000000"/>
      </w:rPr>
    </w:pPr>
    <w:r>
      <w:rPr>
        <w:noProof/>
      </w:rPr>
      <w:drawing>
        <wp:anchor distT="0" distB="0" distL="0" distR="0" simplePos="0" relativeHeight="251658240" behindDoc="1" locked="0" layoutInCell="1" hidden="0" allowOverlap="1" wp14:anchorId="68B76800" wp14:editId="5F1DC31B">
          <wp:simplePos x="0" y="0"/>
          <wp:positionH relativeFrom="column">
            <wp:posOffset>-1151883</wp:posOffset>
          </wp:positionH>
          <wp:positionV relativeFrom="paragraph">
            <wp:posOffset>-1170299</wp:posOffset>
          </wp:positionV>
          <wp:extent cx="7792278" cy="12834818"/>
          <wp:effectExtent l="0" t="0" r="0" b="0"/>
          <wp:wrapNone/>
          <wp:docPr id="3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92278" cy="12834818"/>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7D5C5B"/>
    <w:multiLevelType w:val="multilevel"/>
    <w:tmpl w:val="C6D08C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54E"/>
    <w:rsid w:val="00294E30"/>
    <w:rsid w:val="002E7C8A"/>
    <w:rsid w:val="0030580D"/>
    <w:rsid w:val="003411C2"/>
    <w:rsid w:val="003D7A5B"/>
    <w:rsid w:val="003F5227"/>
    <w:rsid w:val="0041754E"/>
    <w:rsid w:val="00484DEE"/>
    <w:rsid w:val="0070119A"/>
    <w:rsid w:val="008216E0"/>
    <w:rsid w:val="00923AC7"/>
    <w:rsid w:val="009C6337"/>
    <w:rsid w:val="009E5722"/>
    <w:rsid w:val="00A011E0"/>
    <w:rsid w:val="00A3366E"/>
    <w:rsid w:val="00AC7AEE"/>
    <w:rsid w:val="00EF6A89"/>
    <w:rsid w:val="00F43DBF"/>
    <w:rsid w:val="00F56B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87810"/>
  <w15:docId w15:val="{8E02B1DA-8AE8-4879-AB72-BDD235004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E83348"/>
    <w:pPr>
      <w:tabs>
        <w:tab w:val="center" w:pos="4320"/>
        <w:tab w:val="right" w:pos="8640"/>
      </w:tabs>
    </w:pPr>
  </w:style>
  <w:style w:type="character" w:customStyle="1" w:styleId="EncabezadoCar">
    <w:name w:val="Encabezado Car"/>
    <w:basedOn w:val="Fuentedeprrafopredeter"/>
    <w:link w:val="Encabezado"/>
    <w:uiPriority w:val="99"/>
    <w:rsid w:val="00E83348"/>
  </w:style>
  <w:style w:type="paragraph" w:styleId="Piedepgina">
    <w:name w:val="footer"/>
    <w:basedOn w:val="Normal"/>
    <w:link w:val="PiedepginaCar"/>
    <w:uiPriority w:val="99"/>
    <w:unhideWhenUsed/>
    <w:rsid w:val="00E83348"/>
    <w:pPr>
      <w:tabs>
        <w:tab w:val="center" w:pos="4320"/>
        <w:tab w:val="right" w:pos="8640"/>
      </w:tabs>
    </w:pPr>
  </w:style>
  <w:style w:type="character" w:customStyle="1" w:styleId="PiedepginaCar">
    <w:name w:val="Pie de página Car"/>
    <w:basedOn w:val="Fuentedeprrafopredeter"/>
    <w:link w:val="Piedepgina"/>
    <w:uiPriority w:val="99"/>
    <w:rsid w:val="00E83348"/>
  </w:style>
  <w:style w:type="paragraph" w:styleId="Textodeglobo">
    <w:name w:val="Balloon Text"/>
    <w:basedOn w:val="Normal"/>
    <w:link w:val="TextodegloboCar"/>
    <w:uiPriority w:val="99"/>
    <w:semiHidden/>
    <w:unhideWhenUsed/>
    <w:rsid w:val="00E8334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83348"/>
    <w:rPr>
      <w:rFonts w:ascii="Lucida Grande" w:hAnsi="Lucida Grande" w:cs="Lucida Grande"/>
      <w:sz w:val="18"/>
      <w:szCs w:val="18"/>
    </w:rPr>
  </w:style>
  <w:style w:type="paragraph" w:styleId="Prrafodelista">
    <w:name w:val="List Paragraph"/>
    <w:basedOn w:val="Normal"/>
    <w:uiPriority w:val="34"/>
    <w:qFormat/>
    <w:rsid w:val="00166902"/>
    <w:pPr>
      <w:spacing w:after="200" w:line="276" w:lineRule="auto"/>
      <w:ind w:left="720"/>
      <w:contextualSpacing/>
    </w:pPr>
    <w:rPr>
      <w:rFonts w:ascii="Calibri" w:eastAsia="Times New Roman" w:hAnsi="Calibri" w:cs="Times New Roman"/>
      <w:sz w:val="22"/>
      <w:szCs w:val="22"/>
    </w:rPr>
  </w:style>
  <w:style w:type="character" w:styleId="Textoennegrita">
    <w:name w:val="Strong"/>
    <w:basedOn w:val="Fuentedeprrafopredeter"/>
    <w:uiPriority w:val="22"/>
    <w:qFormat/>
    <w:rsid w:val="00162279"/>
    <w:rPr>
      <w:b/>
      <w:bCs/>
    </w:rPr>
  </w:style>
  <w:style w:type="character" w:styleId="Hipervnculo">
    <w:name w:val="Hyperlink"/>
    <w:basedOn w:val="Fuentedeprrafopredeter"/>
    <w:unhideWhenUsed/>
    <w:rsid w:val="00B717D0"/>
    <w:rPr>
      <w:rFonts w:cs="Times New Roman"/>
      <w:color w:val="0000FF"/>
      <w:u w:val="single"/>
    </w:rPr>
  </w:style>
  <w:style w:type="paragraph" w:styleId="NormalWeb">
    <w:name w:val="Normal (Web)"/>
    <w:basedOn w:val="Normal"/>
    <w:uiPriority w:val="99"/>
    <w:unhideWhenUsed/>
    <w:rsid w:val="00D97579"/>
    <w:pPr>
      <w:spacing w:before="100" w:beforeAutospacing="1" w:after="100" w:afterAutospacing="1"/>
    </w:pPr>
    <w:rPr>
      <w:rFonts w:ascii="Times New Roman" w:eastAsia="Times New Roman" w:hAnsi="Times New Roman" w:cs="Times New Roman"/>
    </w:rPr>
  </w:style>
  <w:style w:type="paragraph" w:customStyle="1" w:styleId="selectable-text">
    <w:name w:val="selectable-text"/>
    <w:basedOn w:val="Normal"/>
    <w:rsid w:val="003616F4"/>
    <w:pPr>
      <w:spacing w:before="100" w:beforeAutospacing="1" w:after="100" w:afterAutospacing="1"/>
    </w:pPr>
    <w:rPr>
      <w:rFonts w:ascii="Times New Roman" w:eastAsia="Times New Roman" w:hAnsi="Times New Roman" w:cs="Times New Roman"/>
    </w:rPr>
  </w:style>
  <w:style w:type="character" w:customStyle="1" w:styleId="selectable-text1">
    <w:name w:val="selectable-text1"/>
    <w:basedOn w:val="Fuentedeprrafopredeter"/>
    <w:rsid w:val="003616F4"/>
  </w:style>
  <w:style w:type="character" w:customStyle="1" w:styleId="html-span">
    <w:name w:val="html-span"/>
    <w:basedOn w:val="Fuentedeprrafopredeter"/>
    <w:rsid w:val="00E22969"/>
  </w:style>
  <w:style w:type="character" w:customStyle="1" w:styleId="xjp7ctv">
    <w:name w:val="xjp7ctv"/>
    <w:basedOn w:val="Fuentedeprrafopredeter"/>
    <w:rsid w:val="00E22969"/>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customStyle="1" w:styleId="UnresolvedMention">
    <w:name w:val="Unresolved Mention"/>
    <w:basedOn w:val="Fuentedeprrafopredeter"/>
    <w:uiPriority w:val="99"/>
    <w:semiHidden/>
    <w:unhideWhenUsed/>
    <w:rsid w:val="003D7A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fitchratings.com/research/es/international-public-finance/fitch-assigns-aaa-mex-vra-to-one-bank-loan-of-sadm-30-03-2026"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y1OKarhoXfDduWLuW/gqEPsvtA==">CgMxLjA4AHIhMUtRc0RURTNXaE1KUU9SY0ZUM25mc3lNMzZ5Sl9IMTZf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314</Words>
  <Characters>1727</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Marlene Miranda</dc:creator>
  <cp:lastModifiedBy>Reynaldo Escalante de leon</cp:lastModifiedBy>
  <cp:revision>2</cp:revision>
  <dcterms:created xsi:type="dcterms:W3CDTF">2026-04-01T19:39:00Z</dcterms:created>
  <dcterms:modified xsi:type="dcterms:W3CDTF">2026-04-01T19:39:00Z</dcterms:modified>
</cp:coreProperties>
</file>