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64D8" w:rsidRDefault="00E93EAC">
      <w:pPr>
        <w:jc w:val="right"/>
        <w:rPr>
          <w:rFonts w:ascii="Arial" w:eastAsia="Arial" w:hAnsi="Arial" w:cs="Arial"/>
          <w:b/>
          <w:bCs/>
          <w:sz w:val="22"/>
          <w:szCs w:val="22"/>
        </w:rPr>
      </w:pPr>
      <w:bookmarkStart w:id="0" w:name="_GoBack"/>
      <w:bookmarkEnd w:id="0"/>
      <w:r>
        <w:rPr>
          <w:rFonts w:ascii="Arial" w:eastAsia="Arial" w:hAnsi="Arial" w:cs="Arial"/>
          <w:b/>
          <w:bCs/>
          <w:sz w:val="22"/>
          <w:szCs w:val="22"/>
        </w:rPr>
        <w:t>CP/0747/2026</w:t>
      </w:r>
    </w:p>
    <w:p w:rsidR="00DA64D8" w:rsidRDefault="00E93EAC">
      <w:pPr>
        <w:jc w:val="right"/>
        <w:rPr>
          <w:rFonts w:ascii="Arial" w:eastAsia="Arial" w:hAnsi="Arial" w:cs="Arial"/>
          <w:sz w:val="22"/>
          <w:szCs w:val="22"/>
        </w:rPr>
      </w:pPr>
      <w:r>
        <w:rPr>
          <w:rFonts w:ascii="Arial" w:eastAsia="Arial" w:hAnsi="Arial" w:cs="Arial"/>
          <w:sz w:val="22"/>
          <w:szCs w:val="22"/>
        </w:rPr>
        <w:t>19 de mayo de 2026</w:t>
      </w:r>
    </w:p>
    <w:p w:rsidR="00DA64D8" w:rsidRDefault="00E93EAC">
      <w:pPr>
        <w:jc w:val="center"/>
        <w:rPr>
          <w:rFonts w:ascii="Arial" w:eastAsia="Arial" w:hAnsi="Arial" w:cs="Arial"/>
          <w:b/>
          <w:bCs/>
          <w:sz w:val="28"/>
          <w:szCs w:val="28"/>
        </w:rPr>
      </w:pPr>
      <w:r>
        <w:rPr>
          <w:rFonts w:ascii="Arial" w:eastAsia="Arial" w:hAnsi="Arial" w:cs="Arial"/>
          <w:b/>
          <w:bCs/>
          <w:sz w:val="28"/>
          <w:szCs w:val="28"/>
        </w:rPr>
        <w:t xml:space="preserve"> </w:t>
      </w:r>
    </w:p>
    <w:p w:rsidR="00DA64D8" w:rsidRDefault="00DA64D8">
      <w:pPr>
        <w:spacing w:before="240" w:after="240"/>
        <w:jc w:val="center"/>
        <w:rPr>
          <w:rFonts w:ascii="Arial" w:eastAsia="Arial" w:hAnsi="Arial" w:cs="Arial"/>
          <w:b/>
          <w:bCs/>
          <w:sz w:val="28"/>
          <w:szCs w:val="28"/>
        </w:rPr>
      </w:pPr>
    </w:p>
    <w:p w:rsidR="00DA64D8" w:rsidRDefault="00E93EAC">
      <w:pPr>
        <w:spacing w:before="240" w:after="240"/>
        <w:jc w:val="center"/>
        <w:rPr>
          <w:rFonts w:ascii="Arial" w:eastAsia="Arial" w:hAnsi="Arial" w:cs="Arial"/>
          <w:b/>
          <w:bCs/>
          <w:sz w:val="28"/>
          <w:szCs w:val="28"/>
        </w:rPr>
      </w:pPr>
      <w:r>
        <w:rPr>
          <w:rFonts w:ascii="Arial" w:eastAsia="Arial" w:hAnsi="Arial" w:cs="Arial"/>
          <w:b/>
          <w:bCs/>
          <w:sz w:val="28"/>
          <w:szCs w:val="28"/>
        </w:rPr>
        <w:t xml:space="preserve">ACTUALIZA NL SU MARCO TURÍSTICO CON NUEVA LEY DE DESARROLLO Y FOMENTO TURÍSTICO SOSTENIBLE </w:t>
      </w:r>
    </w:p>
    <w:p w:rsidR="00DA64D8" w:rsidRDefault="00DA64D8">
      <w:pPr>
        <w:spacing w:before="240" w:after="240"/>
        <w:jc w:val="center"/>
        <w:rPr>
          <w:rFonts w:ascii="Arial" w:eastAsia="Arial" w:hAnsi="Arial" w:cs="Arial"/>
          <w:i/>
          <w:iCs/>
          <w:sz w:val="22"/>
          <w:szCs w:val="22"/>
        </w:rPr>
      </w:pPr>
    </w:p>
    <w:p w:rsidR="00DA64D8" w:rsidRDefault="00DA64D8">
      <w:pPr>
        <w:spacing w:before="240" w:after="240"/>
        <w:jc w:val="center"/>
        <w:rPr>
          <w:rFonts w:ascii="Arial" w:eastAsia="Arial" w:hAnsi="Arial" w:cs="Arial"/>
          <w:i/>
          <w:iCs/>
          <w:sz w:val="22"/>
          <w:szCs w:val="22"/>
        </w:rPr>
      </w:pPr>
    </w:p>
    <w:p w:rsidR="00DA64D8" w:rsidRDefault="00DA64D8">
      <w:pPr>
        <w:spacing w:before="240" w:after="240"/>
        <w:jc w:val="center"/>
        <w:rPr>
          <w:rFonts w:ascii="Arial" w:eastAsia="Arial" w:hAnsi="Arial" w:cs="Arial"/>
          <w:i/>
          <w:iCs/>
          <w:sz w:val="22"/>
          <w:szCs w:val="22"/>
        </w:rPr>
      </w:pPr>
    </w:p>
    <w:p w:rsidR="00DA64D8" w:rsidRDefault="00E93EAC">
      <w:pPr>
        <w:spacing w:before="240" w:after="240"/>
        <w:jc w:val="center"/>
        <w:rPr>
          <w:rFonts w:ascii="Arial" w:eastAsia="Arial" w:hAnsi="Arial" w:cs="Arial"/>
          <w:i/>
          <w:iCs/>
          <w:sz w:val="22"/>
          <w:szCs w:val="22"/>
        </w:rPr>
      </w:pPr>
      <w:r>
        <w:rPr>
          <w:rFonts w:ascii="Arial" w:eastAsia="Arial" w:hAnsi="Arial" w:cs="Arial"/>
          <w:i/>
          <w:iCs/>
          <w:sz w:val="22"/>
          <w:szCs w:val="22"/>
        </w:rPr>
        <w:t>• El Gobierno del Estado presentó el Decreto Número 206 mediante el cual se expide la nueva Ley de Desarrollo y Fomento Turístico Sostenible del Estado de Nuevo León</w:t>
      </w:r>
    </w:p>
    <w:p w:rsidR="00DA64D8" w:rsidRDefault="00E93EAC">
      <w:pPr>
        <w:spacing w:before="240" w:after="240"/>
        <w:jc w:val="center"/>
        <w:rPr>
          <w:rFonts w:ascii="Arial" w:eastAsia="Arial" w:hAnsi="Arial" w:cs="Arial"/>
          <w:i/>
          <w:iCs/>
          <w:sz w:val="22"/>
          <w:szCs w:val="22"/>
        </w:rPr>
      </w:pPr>
      <w:r>
        <w:rPr>
          <w:rFonts w:ascii="Arial" w:eastAsia="Arial" w:hAnsi="Arial" w:cs="Arial"/>
          <w:i/>
          <w:iCs/>
          <w:sz w:val="22"/>
          <w:szCs w:val="22"/>
        </w:rPr>
        <w:t>• La legislación actualiza el marco turístico estatal tras casi 20 años e incorpora criter</w:t>
      </w:r>
      <w:r>
        <w:rPr>
          <w:rFonts w:ascii="Arial" w:eastAsia="Arial" w:hAnsi="Arial" w:cs="Arial"/>
          <w:i/>
          <w:iCs/>
          <w:sz w:val="22"/>
          <w:szCs w:val="22"/>
        </w:rPr>
        <w:t>ios de sostenibilidad, innovación, ordenamiento y coordinación institucional</w:t>
      </w:r>
    </w:p>
    <w:p w:rsidR="00DA64D8" w:rsidRDefault="00DA64D8">
      <w:pPr>
        <w:spacing w:before="240" w:after="240"/>
        <w:jc w:val="center"/>
        <w:rPr>
          <w:rFonts w:ascii="Arial" w:eastAsia="Arial" w:hAnsi="Arial" w:cs="Arial"/>
          <w:i/>
          <w:iCs/>
          <w:sz w:val="22"/>
          <w:szCs w:val="22"/>
        </w:rPr>
      </w:pPr>
    </w:p>
    <w:p w:rsidR="00DA64D8" w:rsidRDefault="00DA64D8">
      <w:pPr>
        <w:spacing w:before="240" w:after="240"/>
        <w:jc w:val="center"/>
        <w:rPr>
          <w:rFonts w:ascii="Arial" w:eastAsia="Arial" w:hAnsi="Arial" w:cs="Arial"/>
          <w:i/>
          <w:iCs/>
          <w:sz w:val="22"/>
          <w:szCs w:val="22"/>
        </w:rPr>
      </w:pPr>
    </w:p>
    <w:p w:rsidR="00DA64D8" w:rsidRDefault="00DA64D8">
      <w:pPr>
        <w:spacing w:before="240" w:after="240"/>
        <w:jc w:val="center"/>
        <w:rPr>
          <w:rFonts w:ascii="Arial" w:eastAsia="Arial" w:hAnsi="Arial" w:cs="Arial"/>
          <w:i/>
          <w:iCs/>
          <w:sz w:val="22"/>
          <w:szCs w:val="22"/>
        </w:rPr>
      </w:pPr>
    </w:p>
    <w:p w:rsidR="00DA64D8" w:rsidRDefault="00E93EAC">
      <w:pPr>
        <w:spacing w:line="288" w:lineRule="auto"/>
        <w:jc w:val="both"/>
        <w:rPr>
          <w:rFonts w:ascii="Arial" w:eastAsia="Arial" w:hAnsi="Arial" w:cs="Arial"/>
          <w:sz w:val="27"/>
          <w:szCs w:val="27"/>
        </w:rPr>
      </w:pPr>
      <w:r>
        <w:rPr>
          <w:rFonts w:ascii="Arial" w:eastAsia="Arial" w:hAnsi="Arial" w:cs="Arial"/>
          <w:b/>
          <w:bCs/>
          <w:sz w:val="27"/>
          <w:szCs w:val="27"/>
        </w:rPr>
        <w:t>Monterrey, Nuevo León</w:t>
      </w:r>
      <w:r>
        <w:rPr>
          <w:rFonts w:ascii="Arial" w:eastAsia="Arial" w:hAnsi="Arial" w:cs="Arial"/>
          <w:sz w:val="27"/>
          <w:szCs w:val="27"/>
        </w:rPr>
        <w:t>.-El Gobierno del Estado, a través de la Secretaría de Turismo de Nuevo León, presentó el Decreto Número 206 mediante el cual se expide la nueva Ley de Des</w:t>
      </w:r>
      <w:r>
        <w:rPr>
          <w:rFonts w:ascii="Arial" w:eastAsia="Arial" w:hAnsi="Arial" w:cs="Arial"/>
          <w:sz w:val="27"/>
          <w:szCs w:val="27"/>
        </w:rPr>
        <w:t>arrollo y Fomento Turístico Sostenible del Estado de Nuevo León, legislación que actualiza el marco institucional del sector turístico para responder a las nuevas dinámicas y retos de la actividad turística.</w:t>
      </w:r>
    </w:p>
    <w:p w:rsidR="00DA64D8" w:rsidRDefault="00E93EAC">
      <w:pPr>
        <w:spacing w:before="240" w:after="240" w:line="288" w:lineRule="auto"/>
        <w:jc w:val="both"/>
        <w:rPr>
          <w:rFonts w:ascii="Arial" w:eastAsia="Arial" w:hAnsi="Arial" w:cs="Arial"/>
          <w:sz w:val="27"/>
          <w:szCs w:val="27"/>
        </w:rPr>
      </w:pPr>
      <w:r>
        <w:rPr>
          <w:rFonts w:ascii="Arial" w:eastAsia="Arial" w:hAnsi="Arial" w:cs="Arial"/>
          <w:sz w:val="27"/>
          <w:szCs w:val="27"/>
        </w:rPr>
        <w:t xml:space="preserve">El evento se llevó a cabo en el Salón Juárez de </w:t>
      </w:r>
      <w:r>
        <w:rPr>
          <w:rFonts w:ascii="Arial" w:eastAsia="Arial" w:hAnsi="Arial" w:cs="Arial"/>
          <w:sz w:val="27"/>
          <w:szCs w:val="27"/>
        </w:rPr>
        <w:t xml:space="preserve">Palacio de Gobierno con la participación de representantes del H. Congreso del Estado, integrantes del Consejo Consultivo Ciudadano de la Secretaría de </w:t>
      </w:r>
      <w:r>
        <w:rPr>
          <w:rFonts w:ascii="Arial" w:eastAsia="Arial" w:hAnsi="Arial" w:cs="Arial"/>
          <w:sz w:val="27"/>
          <w:szCs w:val="27"/>
        </w:rPr>
        <w:lastRenderedPageBreak/>
        <w:t>Turismo, representantes del sector turístico, empresarial y académico, así como autoridades estatales.</w:t>
      </w:r>
    </w:p>
    <w:p w:rsidR="00DA64D8" w:rsidRDefault="00E93EAC">
      <w:pPr>
        <w:spacing w:before="240" w:after="240" w:line="288" w:lineRule="auto"/>
        <w:jc w:val="both"/>
        <w:rPr>
          <w:rFonts w:ascii="Arial" w:eastAsia="Arial" w:hAnsi="Arial" w:cs="Arial"/>
          <w:sz w:val="27"/>
          <w:szCs w:val="27"/>
        </w:rPr>
      </w:pPr>
      <w:r>
        <w:rPr>
          <w:rFonts w:ascii="Arial" w:eastAsia="Arial" w:hAnsi="Arial" w:cs="Arial"/>
          <w:sz w:val="27"/>
          <w:szCs w:val="27"/>
        </w:rPr>
        <w:t>D</w:t>
      </w:r>
      <w:r>
        <w:rPr>
          <w:rFonts w:ascii="Arial" w:eastAsia="Arial" w:hAnsi="Arial" w:cs="Arial"/>
          <w:sz w:val="27"/>
          <w:szCs w:val="27"/>
        </w:rPr>
        <w:t>urante su mensaje de cierre, la Secretaria de Turismo de Nuevo León, Maricarmen Martínez Villarreal, destacó que la nueva legislación representa la actualización más importante del marco turístico estatal en casi dos décadas y permitirá fortalecer la capac</w:t>
      </w:r>
      <w:r>
        <w:rPr>
          <w:rFonts w:ascii="Arial" w:eastAsia="Arial" w:hAnsi="Arial" w:cs="Arial"/>
          <w:sz w:val="27"/>
          <w:szCs w:val="27"/>
        </w:rPr>
        <w:t>idad institucional y la rectoría turística del estado.</w:t>
      </w:r>
    </w:p>
    <w:p w:rsidR="00DA64D8" w:rsidRDefault="00E93EAC">
      <w:pPr>
        <w:spacing w:before="240" w:after="240" w:line="288" w:lineRule="auto"/>
        <w:jc w:val="both"/>
        <w:rPr>
          <w:rFonts w:ascii="Arial" w:eastAsia="Arial" w:hAnsi="Arial" w:cs="Arial"/>
          <w:sz w:val="27"/>
          <w:szCs w:val="27"/>
        </w:rPr>
      </w:pPr>
      <w:r>
        <w:rPr>
          <w:rFonts w:ascii="Arial" w:eastAsia="Arial" w:hAnsi="Arial" w:cs="Arial"/>
          <w:sz w:val="27"/>
          <w:szCs w:val="27"/>
        </w:rPr>
        <w:t>“Hoy el turismo requiere planeación, coordinación y una visión institucional capaz de articular esfuerzos y construir rumbo para el sector”, expresó.</w:t>
      </w:r>
    </w:p>
    <w:p w:rsidR="00DA64D8" w:rsidRDefault="00E93EAC">
      <w:pPr>
        <w:spacing w:before="240" w:after="240" w:line="288" w:lineRule="auto"/>
        <w:jc w:val="both"/>
        <w:rPr>
          <w:rFonts w:ascii="Arial" w:eastAsia="Arial" w:hAnsi="Arial" w:cs="Arial"/>
          <w:sz w:val="27"/>
          <w:szCs w:val="27"/>
        </w:rPr>
      </w:pPr>
      <w:r>
        <w:rPr>
          <w:rFonts w:ascii="Arial" w:eastAsia="Arial" w:hAnsi="Arial" w:cs="Arial"/>
          <w:sz w:val="27"/>
          <w:szCs w:val="27"/>
        </w:rPr>
        <w:t>La Secretaria señaló que el turismo representa actu</w:t>
      </w:r>
      <w:r>
        <w:rPr>
          <w:rFonts w:ascii="Arial" w:eastAsia="Arial" w:hAnsi="Arial" w:cs="Arial"/>
          <w:sz w:val="27"/>
          <w:szCs w:val="27"/>
        </w:rPr>
        <w:t>almente el 8.7% del Producto Interno Bruto nacional, mientras que en Nuevo León el turismo aporta el 5.7% del PIB estatal, posicionando a la entidad en el sexto lugar nacional en aportación al PIB turístico, de acuerdo con el Observatorio Turístico Sosteni</w:t>
      </w:r>
      <w:r>
        <w:rPr>
          <w:rFonts w:ascii="Arial" w:eastAsia="Arial" w:hAnsi="Arial" w:cs="Arial"/>
          <w:sz w:val="27"/>
          <w:szCs w:val="27"/>
        </w:rPr>
        <w:t>ble de Nuevo León.</w:t>
      </w:r>
    </w:p>
    <w:p w:rsidR="00DA64D8" w:rsidRDefault="00E93EAC">
      <w:pPr>
        <w:spacing w:before="240" w:after="240" w:line="288" w:lineRule="auto"/>
        <w:jc w:val="both"/>
        <w:rPr>
          <w:rFonts w:ascii="Arial" w:eastAsia="Arial" w:hAnsi="Arial" w:cs="Arial"/>
          <w:sz w:val="27"/>
          <w:szCs w:val="27"/>
        </w:rPr>
      </w:pPr>
      <w:r>
        <w:rPr>
          <w:rFonts w:ascii="Arial" w:eastAsia="Arial" w:hAnsi="Arial" w:cs="Arial"/>
          <w:sz w:val="27"/>
          <w:szCs w:val="27"/>
        </w:rPr>
        <w:t>La nueva legislación incorpora mecanismos orientados a impulsar la competitividad del sector mediante criterios de sostenibilidad, innovación, profesionalización, ordenamiento turístico y desarrollo regional.</w:t>
      </w:r>
    </w:p>
    <w:p w:rsidR="00DA64D8" w:rsidRDefault="00E93EAC">
      <w:pPr>
        <w:spacing w:before="240" w:after="240" w:line="288" w:lineRule="auto"/>
        <w:jc w:val="both"/>
        <w:rPr>
          <w:rFonts w:ascii="Arial" w:eastAsia="Arial" w:hAnsi="Arial" w:cs="Arial"/>
          <w:sz w:val="27"/>
          <w:szCs w:val="27"/>
        </w:rPr>
      </w:pPr>
      <w:r>
        <w:rPr>
          <w:rFonts w:ascii="Arial" w:eastAsia="Arial" w:hAnsi="Arial" w:cs="Arial"/>
          <w:sz w:val="27"/>
          <w:szCs w:val="27"/>
        </w:rPr>
        <w:t>Asimismo, contempla herramie</w:t>
      </w:r>
      <w:r>
        <w:rPr>
          <w:rFonts w:ascii="Arial" w:eastAsia="Arial" w:hAnsi="Arial" w:cs="Arial"/>
          <w:sz w:val="27"/>
          <w:szCs w:val="27"/>
        </w:rPr>
        <w:t>ntas para fortalecer la toma de decisiones, mejorar la coordinación con municipios, impulsar inversión turística y fortalecer los Pueblos Mágicos del estado.</w:t>
      </w:r>
    </w:p>
    <w:p w:rsidR="00DA64D8" w:rsidRDefault="00E93EAC">
      <w:pPr>
        <w:spacing w:before="240" w:after="240" w:line="288" w:lineRule="auto"/>
        <w:jc w:val="both"/>
        <w:rPr>
          <w:rFonts w:ascii="Arial" w:eastAsia="Arial" w:hAnsi="Arial" w:cs="Arial"/>
          <w:sz w:val="27"/>
          <w:szCs w:val="27"/>
        </w:rPr>
      </w:pPr>
      <w:r>
        <w:rPr>
          <w:rFonts w:ascii="Arial" w:eastAsia="Arial" w:hAnsi="Arial" w:cs="Arial"/>
          <w:sz w:val="27"/>
          <w:szCs w:val="27"/>
        </w:rPr>
        <w:t xml:space="preserve">Entre los principales ejes de la nueva ley destacan el fortalecimiento de </w:t>
      </w:r>
      <w:proofErr w:type="gramStart"/>
      <w:r>
        <w:rPr>
          <w:rFonts w:ascii="Arial" w:eastAsia="Arial" w:hAnsi="Arial" w:cs="Arial"/>
          <w:sz w:val="27"/>
          <w:szCs w:val="27"/>
        </w:rPr>
        <w:t>la</w:t>
      </w:r>
      <w:proofErr w:type="gramEnd"/>
      <w:r>
        <w:rPr>
          <w:rFonts w:ascii="Arial" w:eastAsia="Arial" w:hAnsi="Arial" w:cs="Arial"/>
          <w:sz w:val="27"/>
          <w:szCs w:val="27"/>
        </w:rPr>
        <w:t xml:space="preserve"> gobernanza turística, nuevas herramientas de planeación, regulación </w:t>
      </w:r>
      <w:r>
        <w:rPr>
          <w:rFonts w:ascii="Arial" w:eastAsia="Arial" w:hAnsi="Arial" w:cs="Arial"/>
          <w:sz w:val="27"/>
          <w:szCs w:val="27"/>
        </w:rPr>
        <w:lastRenderedPageBreak/>
        <w:t>de plataformas digitales de hospedaje, así como esquemas orientados a sostenibilidad, calidad y profesionalizac</w:t>
      </w:r>
      <w:r>
        <w:rPr>
          <w:rFonts w:ascii="Arial" w:eastAsia="Arial" w:hAnsi="Arial" w:cs="Arial"/>
          <w:sz w:val="27"/>
          <w:szCs w:val="27"/>
        </w:rPr>
        <w:t>ión turística.</w:t>
      </w:r>
    </w:p>
    <w:p w:rsidR="00DA64D8" w:rsidRDefault="00E93EAC">
      <w:pPr>
        <w:spacing w:before="240" w:after="240" w:line="288" w:lineRule="auto"/>
        <w:jc w:val="both"/>
        <w:rPr>
          <w:rFonts w:ascii="Arial" w:eastAsia="Arial" w:hAnsi="Arial" w:cs="Arial"/>
          <w:sz w:val="27"/>
          <w:szCs w:val="27"/>
        </w:rPr>
      </w:pPr>
      <w:r>
        <w:rPr>
          <w:rFonts w:ascii="Arial" w:eastAsia="Arial" w:hAnsi="Arial" w:cs="Arial"/>
          <w:sz w:val="27"/>
          <w:szCs w:val="27"/>
        </w:rPr>
        <w:t>La ley es resultado de un proceso de trabajo coordinado entre la Secretaría de Turismo, el Consejo Consultivo Ciudadano, especialistas del sector, representantes empresariales y el Poder Legislativo.</w:t>
      </w:r>
    </w:p>
    <w:p w:rsidR="00DA64D8" w:rsidRDefault="00E93EAC">
      <w:pPr>
        <w:spacing w:before="240" w:after="240" w:line="288" w:lineRule="auto"/>
        <w:jc w:val="both"/>
        <w:rPr>
          <w:rFonts w:ascii="Arial" w:eastAsia="Arial" w:hAnsi="Arial" w:cs="Arial"/>
          <w:sz w:val="27"/>
          <w:szCs w:val="27"/>
        </w:rPr>
      </w:pPr>
      <w:r>
        <w:rPr>
          <w:rFonts w:ascii="Arial" w:eastAsia="Arial" w:hAnsi="Arial" w:cs="Arial"/>
          <w:sz w:val="27"/>
          <w:szCs w:val="27"/>
        </w:rPr>
        <w:t>Rumbo al Mundial de futbol 2026, Nuevo Le</w:t>
      </w:r>
      <w:r>
        <w:rPr>
          <w:rFonts w:ascii="Arial" w:eastAsia="Arial" w:hAnsi="Arial" w:cs="Arial"/>
          <w:sz w:val="27"/>
          <w:szCs w:val="27"/>
        </w:rPr>
        <w:t>ón ha venido fortaleciendo la experiencia del visitante mediante una oferta más integrada en gastronomía, cultura, naturaleza, entretenimiento y turismo urbano, como parte de la preparación turística del estado para recibir visitantes nacionales e internac</w:t>
      </w:r>
      <w:r>
        <w:rPr>
          <w:rFonts w:ascii="Arial" w:eastAsia="Arial" w:hAnsi="Arial" w:cs="Arial"/>
          <w:sz w:val="27"/>
          <w:szCs w:val="27"/>
        </w:rPr>
        <w:t>ionales.</w:t>
      </w:r>
    </w:p>
    <w:p w:rsidR="00DA64D8" w:rsidRDefault="00E93EAC">
      <w:pPr>
        <w:spacing w:before="240" w:after="240" w:line="288" w:lineRule="auto"/>
        <w:jc w:val="both"/>
        <w:rPr>
          <w:rFonts w:ascii="Arial" w:eastAsia="Arial" w:hAnsi="Arial" w:cs="Arial"/>
          <w:sz w:val="27"/>
          <w:szCs w:val="27"/>
        </w:rPr>
      </w:pPr>
      <w:r>
        <w:rPr>
          <w:rFonts w:ascii="Arial" w:eastAsia="Arial" w:hAnsi="Arial" w:cs="Arial"/>
          <w:sz w:val="27"/>
          <w:szCs w:val="27"/>
        </w:rPr>
        <w:t>Con esta nueva legislación, Nuevo León avanza en la consolidación de un turismo más competitivo, sostenible y preparado para los retos y oportunidades del futuro.</w:t>
      </w:r>
    </w:p>
    <w:p w:rsidR="00DA64D8" w:rsidRDefault="00DA64D8">
      <w:pPr>
        <w:spacing w:line="288" w:lineRule="auto"/>
        <w:jc w:val="both"/>
        <w:rPr>
          <w:rFonts w:ascii="Arial" w:eastAsia="Arial" w:hAnsi="Arial" w:cs="Arial"/>
          <w:sz w:val="27"/>
          <w:szCs w:val="27"/>
        </w:rPr>
      </w:pPr>
    </w:p>
    <w:sectPr w:rsidR="00DA64D8">
      <w:headerReference w:type="default" r:id="rId7"/>
      <w:footerReference w:type="default" r:id="rId8"/>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3EAC" w:rsidRDefault="00E93EAC">
      <w:r>
        <w:separator/>
      </w:r>
    </w:p>
  </w:endnote>
  <w:endnote w:type="continuationSeparator" w:id="0">
    <w:p w:rsidR="00E93EAC" w:rsidRDefault="00E93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embedRegular r:id="rId1" w:fontKey="{BC3B2877-A905-406A-B93F-F96ADE356E48}"/>
    <w:embedBold r:id="rId2" w:fontKey="{3FAD38FB-971A-4615-8DE1-ECBCE96F019F}"/>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3" w:fontKey="{ECC3F039-6AF4-4D16-9528-92975B7EF0A3}"/>
  </w:font>
  <w:font w:name="Georgia">
    <w:panose1 w:val="02040502050405020303"/>
    <w:charset w:val="00"/>
    <w:family w:val="auto"/>
    <w:pitch w:val="default"/>
    <w:embedItalic r:id="rId4" w:fontKey="{18F019E3-36B0-4969-AD4C-9CB5FB0D602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4D8" w:rsidRDefault="00E93EAC">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simplePos x="0" y="0"/>
          <wp:positionH relativeFrom="column">
            <wp:posOffset>-1142995</wp:posOffset>
          </wp:positionH>
          <wp:positionV relativeFrom="paragraph">
            <wp:posOffset>32384</wp:posOffset>
          </wp:positionV>
          <wp:extent cx="7783830" cy="1337945"/>
          <wp:effectExtent l="0" t="0" r="0" b="0"/>
          <wp:wrapNone/>
          <wp:docPr id="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rsidR="00DA64D8" w:rsidRDefault="00DA64D8">
    <w:pPr>
      <w:pBdr>
        <w:top w:val="nil"/>
        <w:left w:val="nil"/>
        <w:bottom w:val="nil"/>
        <w:right w:val="nil"/>
        <w:between w:val="nil"/>
      </w:pBdr>
      <w:tabs>
        <w:tab w:val="center" w:pos="4320"/>
        <w:tab w:val="right" w:pos="8640"/>
      </w:tabs>
      <w:rPr>
        <w:color w:val="000000"/>
      </w:rPr>
    </w:pPr>
  </w:p>
  <w:p w:rsidR="00DA64D8" w:rsidRDefault="00DA64D8">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3EAC" w:rsidRDefault="00E93EAC">
      <w:r>
        <w:separator/>
      </w:r>
    </w:p>
  </w:footnote>
  <w:footnote w:type="continuationSeparator" w:id="0">
    <w:p w:rsidR="00E93EAC" w:rsidRDefault="00E93E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4D8" w:rsidRDefault="00E93EAC">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simplePos x="0" y="0"/>
          <wp:positionH relativeFrom="column">
            <wp:posOffset>-1151886</wp:posOffset>
          </wp:positionH>
          <wp:positionV relativeFrom="paragraph">
            <wp:posOffset>-1170301</wp:posOffset>
          </wp:positionV>
          <wp:extent cx="7792278" cy="12834818"/>
          <wp:effectExtent l="0" t="0" r="0" b="0"/>
          <wp:wrapNone/>
          <wp:docPr id="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4D8"/>
    <w:rsid w:val="006A430D"/>
    <w:rsid w:val="00DA64D8"/>
    <w:rsid w:val="00E93E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948CBC-797C-4E49-AA8D-575FD3ED7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E83348"/>
    <w:pPr>
      <w:tabs>
        <w:tab w:val="center" w:pos="4320"/>
        <w:tab w:val="right" w:pos="8640"/>
      </w:tabs>
    </w:pPr>
  </w:style>
  <w:style w:type="character" w:customStyle="1" w:styleId="EncabezadoCar">
    <w:name w:val="Encabezado Car"/>
    <w:basedOn w:val="Fuentedeprrafopredeter"/>
    <w:link w:val="Encabezado"/>
    <w:uiPriority w:val="99"/>
    <w:rsid w:val="00E83348"/>
  </w:style>
  <w:style w:type="paragraph" w:styleId="Piedepgina">
    <w:name w:val="footer"/>
    <w:basedOn w:val="Normal"/>
    <w:link w:val="PiedepginaCar"/>
    <w:uiPriority w:val="99"/>
    <w:unhideWhenUsed/>
    <w:rsid w:val="00E83348"/>
    <w:pPr>
      <w:tabs>
        <w:tab w:val="center" w:pos="4320"/>
        <w:tab w:val="right" w:pos="8640"/>
      </w:tabs>
    </w:pPr>
  </w:style>
  <w:style w:type="character" w:customStyle="1" w:styleId="PiedepginaCar">
    <w:name w:val="Pie de página Car"/>
    <w:basedOn w:val="Fuentedeprrafopredeter"/>
    <w:link w:val="Piedepgina"/>
    <w:uiPriority w:val="99"/>
    <w:rsid w:val="00E83348"/>
  </w:style>
  <w:style w:type="paragraph" w:styleId="Textodeglobo">
    <w:name w:val="Balloon Text"/>
    <w:basedOn w:val="Normal"/>
    <w:link w:val="TextodegloboCar"/>
    <w:uiPriority w:val="99"/>
    <w:semiHidden/>
    <w:unhideWhenUsed/>
    <w:rsid w:val="00E8334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83348"/>
    <w:rPr>
      <w:rFonts w:ascii="Lucida Grande" w:hAnsi="Lucida Grande" w:cs="Lucida Grande"/>
      <w:sz w:val="18"/>
      <w:szCs w:val="18"/>
    </w:rPr>
  </w:style>
  <w:style w:type="paragraph" w:styleId="Prrafodelista">
    <w:name w:val="List Paragraph"/>
    <w:basedOn w:val="Normal"/>
    <w:uiPriority w:val="34"/>
    <w:qFormat/>
    <w:rsid w:val="00166902"/>
    <w:pPr>
      <w:spacing w:after="200" w:line="276" w:lineRule="auto"/>
      <w:ind w:left="720"/>
      <w:contextualSpacing/>
    </w:pPr>
    <w:rPr>
      <w:rFonts w:ascii="Calibri" w:eastAsia="Times New Roman" w:hAnsi="Calibri" w:cs="Times New Roman"/>
      <w:sz w:val="22"/>
      <w:szCs w:val="22"/>
    </w:rPr>
  </w:style>
  <w:style w:type="character" w:styleId="Textoennegrita">
    <w:name w:val="Strong"/>
    <w:basedOn w:val="Fuentedeprrafopredeter"/>
    <w:uiPriority w:val="22"/>
    <w:qFormat/>
    <w:rsid w:val="00162279"/>
    <w:rPr>
      <w:b/>
      <w:bCs/>
    </w:rPr>
  </w:style>
  <w:style w:type="character" w:styleId="Hipervnculo">
    <w:name w:val="Hyperlink"/>
    <w:basedOn w:val="Fuentedeprrafopredeter"/>
    <w:unhideWhenUsed/>
    <w:rsid w:val="00B717D0"/>
    <w:rPr>
      <w:rFonts w:cs="Times New Roman"/>
      <w:color w:val="0000FF"/>
      <w:u w:val="single"/>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uW6oY7W5KMljgW5klAsU+DsEVg==">CgMxLjA4AHIhMUNPSjFwb1BTSnpxR0ppS3VBTnlVMi1lSVkxUkZ0dFE3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504</Words>
  <Characters>2773</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Marlene Miranda</dc:creator>
  <cp:lastModifiedBy>Prensa</cp:lastModifiedBy>
  <cp:revision>2</cp:revision>
  <dcterms:created xsi:type="dcterms:W3CDTF">2026-05-20T15:03:00Z</dcterms:created>
  <dcterms:modified xsi:type="dcterms:W3CDTF">2026-05-20T15:03:00Z</dcterms:modified>
</cp:coreProperties>
</file>