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CD9" w:rsidRDefault="007873F1">
      <w:pPr>
        <w:jc w:val="right"/>
        <w:rPr>
          <w:rFonts w:ascii="Arial" w:eastAsia="Arial" w:hAnsi="Arial" w:cs="Arial"/>
          <w:b/>
          <w:bCs/>
          <w:sz w:val="22"/>
          <w:szCs w:val="22"/>
        </w:rPr>
      </w:pPr>
      <w:r>
        <w:rPr>
          <w:rFonts w:ascii="Arial" w:eastAsia="Arial" w:hAnsi="Arial" w:cs="Arial"/>
          <w:b/>
          <w:bCs/>
          <w:sz w:val="22"/>
          <w:szCs w:val="22"/>
        </w:rPr>
        <w:t>CP/1793/2025</w:t>
      </w:r>
    </w:p>
    <w:p w:rsidR="00C31CD9" w:rsidRDefault="007873F1">
      <w:pPr>
        <w:jc w:val="right"/>
        <w:rPr>
          <w:rFonts w:ascii="Arial" w:eastAsia="Arial" w:hAnsi="Arial" w:cs="Arial"/>
          <w:sz w:val="22"/>
          <w:szCs w:val="22"/>
        </w:rPr>
      </w:pPr>
      <w:r>
        <w:rPr>
          <w:rFonts w:ascii="Arial" w:eastAsia="Arial" w:hAnsi="Arial" w:cs="Arial"/>
          <w:sz w:val="22"/>
          <w:szCs w:val="22"/>
        </w:rPr>
        <w:t>31 de diciembre de 2025</w:t>
      </w:r>
    </w:p>
    <w:p w:rsidR="00C31CD9" w:rsidRDefault="007873F1">
      <w:pPr>
        <w:jc w:val="center"/>
        <w:rPr>
          <w:rFonts w:ascii="Arial" w:eastAsia="Arial" w:hAnsi="Arial" w:cs="Arial"/>
          <w:b/>
          <w:bCs/>
          <w:sz w:val="28"/>
          <w:szCs w:val="28"/>
        </w:rPr>
      </w:pPr>
      <w:r>
        <w:rPr>
          <w:rFonts w:ascii="Arial" w:eastAsia="Arial" w:hAnsi="Arial" w:cs="Arial"/>
          <w:b/>
          <w:bCs/>
          <w:sz w:val="28"/>
          <w:szCs w:val="28"/>
        </w:rPr>
        <w:t xml:space="preserve"> </w:t>
      </w:r>
    </w:p>
    <w:p w:rsidR="00C31CD9" w:rsidRDefault="00C31CD9">
      <w:pPr>
        <w:jc w:val="center"/>
        <w:rPr>
          <w:rFonts w:ascii="Arial" w:eastAsia="Arial" w:hAnsi="Arial" w:cs="Arial"/>
          <w:b/>
          <w:bCs/>
          <w:sz w:val="28"/>
          <w:szCs w:val="28"/>
        </w:rPr>
      </w:pPr>
    </w:p>
    <w:p w:rsidR="00C31CD9" w:rsidRDefault="007873F1">
      <w:pPr>
        <w:spacing w:before="240" w:after="240"/>
        <w:jc w:val="center"/>
        <w:rPr>
          <w:rFonts w:ascii="Arial" w:eastAsia="Arial" w:hAnsi="Arial" w:cs="Arial"/>
          <w:b/>
          <w:bCs/>
          <w:sz w:val="28"/>
          <w:szCs w:val="28"/>
        </w:rPr>
      </w:pPr>
      <w:r>
        <w:rPr>
          <w:rFonts w:ascii="Arial" w:eastAsia="Arial" w:hAnsi="Arial" w:cs="Arial"/>
          <w:b/>
          <w:bCs/>
          <w:sz w:val="28"/>
          <w:szCs w:val="28"/>
        </w:rPr>
        <w:t xml:space="preserve"> CUENTA NUEVO LEÓN CON UNA OFERTA TURÍSTICA DIVERSA PARA RECORRER EL ESTADO DURANTE TODO EL AÑO</w:t>
      </w:r>
    </w:p>
    <w:p w:rsidR="00C31CD9" w:rsidRDefault="007873F1">
      <w:pPr>
        <w:spacing w:before="240" w:after="240"/>
        <w:jc w:val="center"/>
        <w:rPr>
          <w:rFonts w:ascii="Arial" w:eastAsia="Arial" w:hAnsi="Arial" w:cs="Arial"/>
          <w:b/>
          <w:bCs/>
          <w:sz w:val="28"/>
          <w:szCs w:val="28"/>
        </w:rPr>
      </w:pPr>
      <w:r>
        <w:rPr>
          <w:rFonts w:ascii="Arial" w:eastAsia="Arial" w:hAnsi="Arial" w:cs="Arial"/>
          <w:b/>
          <w:bCs/>
          <w:sz w:val="28"/>
          <w:szCs w:val="28"/>
        </w:rPr>
        <w:t xml:space="preserve"> </w:t>
      </w:r>
    </w:p>
    <w:p w:rsidR="00C31CD9" w:rsidRDefault="007873F1">
      <w:pPr>
        <w:spacing w:before="240" w:after="240"/>
        <w:jc w:val="center"/>
        <w:rPr>
          <w:rFonts w:ascii="Arial" w:eastAsia="Arial" w:hAnsi="Arial" w:cs="Arial"/>
          <w:i/>
          <w:iCs/>
          <w:sz w:val="22"/>
          <w:szCs w:val="22"/>
        </w:rPr>
      </w:pPr>
      <w:r>
        <w:rPr>
          <w:rFonts w:ascii="Arial" w:eastAsia="Arial" w:hAnsi="Arial" w:cs="Arial"/>
          <w:b/>
          <w:bCs/>
          <w:sz w:val="28"/>
          <w:szCs w:val="28"/>
        </w:rPr>
        <w:t xml:space="preserve"> </w:t>
      </w:r>
    </w:p>
    <w:p w:rsidR="00C31CD9" w:rsidRDefault="007873F1">
      <w:pPr>
        <w:spacing w:before="240" w:after="240"/>
        <w:jc w:val="center"/>
        <w:rPr>
          <w:rFonts w:ascii="Arial" w:eastAsia="Arial" w:hAnsi="Arial" w:cs="Arial"/>
          <w:i/>
          <w:iCs/>
          <w:sz w:val="22"/>
          <w:szCs w:val="22"/>
        </w:rPr>
      </w:pPr>
      <w:r>
        <w:rPr>
          <w:rFonts w:ascii="Arial" w:eastAsia="Arial" w:hAnsi="Arial" w:cs="Arial"/>
          <w:i/>
          <w:iCs/>
          <w:sz w:val="22"/>
          <w:szCs w:val="22"/>
        </w:rPr>
        <w:t>• La oferta turística del estado, se organiza en circuitos de parques estatales, naturaleza y aventura, aventura extrema, cultura y gastronomía</w:t>
      </w:r>
    </w:p>
    <w:p w:rsidR="00C31CD9" w:rsidRDefault="007873F1">
      <w:pPr>
        <w:spacing w:before="240" w:after="240"/>
        <w:jc w:val="center"/>
        <w:rPr>
          <w:rFonts w:ascii="Arial" w:eastAsia="Arial" w:hAnsi="Arial" w:cs="Arial"/>
          <w:i/>
          <w:iCs/>
          <w:sz w:val="22"/>
          <w:szCs w:val="22"/>
        </w:rPr>
      </w:pPr>
      <w:r>
        <w:rPr>
          <w:rFonts w:ascii="Arial" w:eastAsia="Arial" w:hAnsi="Arial" w:cs="Arial"/>
          <w:i/>
          <w:iCs/>
          <w:sz w:val="22"/>
          <w:szCs w:val="22"/>
        </w:rPr>
        <w:t>• Los circuitos se distribuyen en regiones como la Citrícola, Norte, Sur, Cuna de Nuevo León y Área Metropolitan</w:t>
      </w:r>
      <w:r>
        <w:rPr>
          <w:rFonts w:ascii="Arial" w:eastAsia="Arial" w:hAnsi="Arial" w:cs="Arial"/>
          <w:i/>
          <w:iCs/>
          <w:sz w:val="22"/>
          <w:szCs w:val="22"/>
        </w:rPr>
        <w:t>a</w:t>
      </w:r>
    </w:p>
    <w:p w:rsidR="00C31CD9" w:rsidRDefault="00C31CD9">
      <w:pPr>
        <w:spacing w:before="240" w:after="240"/>
        <w:jc w:val="center"/>
        <w:rPr>
          <w:rFonts w:ascii="Arial" w:eastAsia="Arial" w:hAnsi="Arial" w:cs="Arial"/>
          <w:i/>
          <w:iCs/>
          <w:sz w:val="22"/>
          <w:szCs w:val="22"/>
        </w:rPr>
      </w:pPr>
    </w:p>
    <w:p w:rsidR="00C31CD9" w:rsidRDefault="00C31CD9">
      <w:pPr>
        <w:jc w:val="center"/>
        <w:rPr>
          <w:rFonts w:ascii="Arial" w:eastAsia="Arial" w:hAnsi="Arial" w:cs="Arial"/>
          <w:i/>
          <w:iCs/>
          <w:sz w:val="22"/>
          <w:szCs w:val="22"/>
        </w:rPr>
      </w:pPr>
    </w:p>
    <w:p w:rsidR="00C31CD9" w:rsidRDefault="007873F1">
      <w:pPr>
        <w:spacing w:before="240" w:after="240"/>
        <w:jc w:val="both"/>
        <w:rPr>
          <w:rFonts w:ascii="Arial" w:eastAsia="Arial" w:hAnsi="Arial" w:cs="Arial"/>
          <w:sz w:val="28"/>
          <w:szCs w:val="28"/>
        </w:rPr>
      </w:pPr>
      <w:r>
        <w:rPr>
          <w:rFonts w:ascii="Arial" w:eastAsia="Arial" w:hAnsi="Arial" w:cs="Arial"/>
          <w:b/>
          <w:bCs/>
          <w:sz w:val="28"/>
          <w:szCs w:val="28"/>
        </w:rPr>
        <w:t xml:space="preserve">Monterrey, Nuevo León.– </w:t>
      </w:r>
      <w:r>
        <w:rPr>
          <w:rFonts w:ascii="Arial" w:eastAsia="Arial" w:hAnsi="Arial" w:cs="Arial"/>
          <w:sz w:val="28"/>
          <w:szCs w:val="28"/>
        </w:rPr>
        <w:t>Nuevo León cuenta con una oferta turística organizada por regiones y tipos de experiencia, que permite a visitantes y residentes recorrer distintos puntos del estado a través de actividades recreativas, contacto con la naturalez</w:t>
      </w:r>
      <w:r>
        <w:rPr>
          <w:rFonts w:ascii="Arial" w:eastAsia="Arial" w:hAnsi="Arial" w:cs="Arial"/>
          <w:sz w:val="28"/>
          <w:szCs w:val="28"/>
        </w:rPr>
        <w:t>a y espacios de convivencia.</w:t>
      </w:r>
    </w:p>
    <w:p w:rsidR="00C31CD9" w:rsidRDefault="007873F1">
      <w:pPr>
        <w:spacing w:before="240" w:after="240"/>
        <w:jc w:val="both"/>
        <w:rPr>
          <w:rFonts w:ascii="Arial" w:eastAsia="Arial" w:hAnsi="Arial" w:cs="Arial"/>
          <w:sz w:val="28"/>
          <w:szCs w:val="28"/>
        </w:rPr>
      </w:pPr>
      <w:r>
        <w:rPr>
          <w:rFonts w:ascii="Arial" w:eastAsia="Arial" w:hAnsi="Arial" w:cs="Arial"/>
          <w:sz w:val="28"/>
          <w:szCs w:val="28"/>
        </w:rPr>
        <w:t>En la Región Norte, se localizan espacios naturales como el Cañón Ojo de Agua, en Bustamante, mientras que en la Región Arqueológica destaca el Parque Recreativo Potrero Chico, en Hidalgo, reconocido por sus entornos naturales.</w:t>
      </w:r>
    </w:p>
    <w:p w:rsidR="00C31CD9" w:rsidRDefault="007873F1">
      <w:pPr>
        <w:spacing w:before="240" w:after="240"/>
        <w:jc w:val="both"/>
        <w:rPr>
          <w:rFonts w:ascii="Arial" w:eastAsia="Arial" w:hAnsi="Arial" w:cs="Arial"/>
          <w:sz w:val="28"/>
          <w:szCs w:val="28"/>
        </w:rPr>
      </w:pPr>
      <w:r>
        <w:rPr>
          <w:rFonts w:ascii="Arial" w:eastAsia="Arial" w:hAnsi="Arial" w:cs="Arial"/>
          <w:sz w:val="28"/>
          <w:szCs w:val="28"/>
        </w:rPr>
        <w:t>La Región Citrícola concentra experiencias de naturaleza y aventura como Matacanes, en Santiago Pueblo Mágico, y en la Región Sur se encuentran espacios como el Parque La Chingada, en General Zaragoza Pueblo Mágico, orientados a la recreación familiar.</w:t>
      </w:r>
    </w:p>
    <w:p w:rsidR="00C31CD9" w:rsidRDefault="007873F1">
      <w:pPr>
        <w:spacing w:before="240" w:after="240"/>
        <w:jc w:val="both"/>
        <w:rPr>
          <w:rFonts w:ascii="Arial" w:eastAsia="Arial" w:hAnsi="Arial" w:cs="Arial"/>
          <w:sz w:val="28"/>
          <w:szCs w:val="28"/>
        </w:rPr>
      </w:pPr>
      <w:r>
        <w:rPr>
          <w:rFonts w:ascii="Arial" w:eastAsia="Arial" w:hAnsi="Arial" w:cs="Arial"/>
          <w:sz w:val="28"/>
          <w:szCs w:val="28"/>
        </w:rPr>
        <w:lastRenderedPageBreak/>
        <w:t>En</w:t>
      </w:r>
      <w:r>
        <w:rPr>
          <w:rFonts w:ascii="Arial" w:eastAsia="Arial" w:hAnsi="Arial" w:cs="Arial"/>
          <w:sz w:val="28"/>
          <w:szCs w:val="28"/>
        </w:rPr>
        <w:t xml:space="preserve"> la Región Cuna de Nuevo León, el Parque El </w:t>
      </w:r>
      <w:proofErr w:type="spellStart"/>
      <w:r>
        <w:rPr>
          <w:rFonts w:ascii="Arial" w:eastAsia="Arial" w:hAnsi="Arial" w:cs="Arial"/>
          <w:sz w:val="28"/>
          <w:szCs w:val="28"/>
        </w:rPr>
        <w:t>Sabinal</w:t>
      </w:r>
      <w:proofErr w:type="spellEnd"/>
      <w:r>
        <w:rPr>
          <w:rFonts w:ascii="Arial" w:eastAsia="Arial" w:hAnsi="Arial" w:cs="Arial"/>
          <w:sz w:val="28"/>
          <w:szCs w:val="28"/>
        </w:rPr>
        <w:t xml:space="preserve">, en </w:t>
      </w:r>
      <w:proofErr w:type="spellStart"/>
      <w:r>
        <w:rPr>
          <w:rFonts w:ascii="Arial" w:eastAsia="Arial" w:hAnsi="Arial" w:cs="Arial"/>
          <w:sz w:val="28"/>
          <w:szCs w:val="28"/>
        </w:rPr>
        <w:t>Cerralvo</w:t>
      </w:r>
      <w:proofErr w:type="spellEnd"/>
      <w:r>
        <w:rPr>
          <w:rFonts w:ascii="Arial" w:eastAsia="Arial" w:hAnsi="Arial" w:cs="Arial"/>
          <w:sz w:val="28"/>
          <w:szCs w:val="28"/>
        </w:rPr>
        <w:t>, forma parte de los sitios naturales disponibles para la visita, mientras que en el Área Metropolitana se ubican espacios urbanos como Parque Fundidora, así como miradores y áreas públicas de</w:t>
      </w:r>
      <w:r>
        <w:rPr>
          <w:rFonts w:ascii="Arial" w:eastAsia="Arial" w:hAnsi="Arial" w:cs="Arial"/>
          <w:sz w:val="28"/>
          <w:szCs w:val="28"/>
        </w:rPr>
        <w:t xml:space="preserve"> acceso recreativo.</w:t>
      </w:r>
    </w:p>
    <w:p w:rsidR="00C31CD9" w:rsidRDefault="007873F1">
      <w:pPr>
        <w:spacing w:before="240" w:after="240"/>
        <w:jc w:val="both"/>
        <w:rPr>
          <w:rFonts w:ascii="Arial" w:eastAsia="Arial" w:hAnsi="Arial" w:cs="Arial"/>
          <w:sz w:val="28"/>
          <w:szCs w:val="28"/>
        </w:rPr>
      </w:pPr>
      <w:r>
        <w:rPr>
          <w:rFonts w:ascii="Arial" w:eastAsia="Arial" w:hAnsi="Arial" w:cs="Arial"/>
          <w:sz w:val="28"/>
          <w:szCs w:val="28"/>
        </w:rPr>
        <w:t>La oferta turística del estado también incluye presas como La Boca (Rodrigo Gómez), Cerro Prieto y El Cuchillo, además de parques estatales y atractivos naturales</w:t>
      </w:r>
      <w:r w:rsidR="00E91685">
        <w:rPr>
          <w:rFonts w:ascii="Arial" w:eastAsia="Arial" w:hAnsi="Arial" w:cs="Arial"/>
          <w:sz w:val="28"/>
          <w:szCs w:val="28"/>
        </w:rPr>
        <w:t xml:space="preserve"> </w:t>
      </w:r>
      <w:bookmarkStart w:id="0" w:name="_GoBack"/>
      <w:bookmarkEnd w:id="0"/>
      <w:r>
        <w:rPr>
          <w:rFonts w:ascii="Arial" w:eastAsia="Arial" w:hAnsi="Arial" w:cs="Arial"/>
          <w:sz w:val="28"/>
          <w:szCs w:val="28"/>
        </w:rPr>
        <w:t>como Cola de Caballo, las Grutas de Bustamante y el Mirador del Asta Bande</w:t>
      </w:r>
      <w:r>
        <w:rPr>
          <w:rFonts w:ascii="Arial" w:eastAsia="Arial" w:hAnsi="Arial" w:cs="Arial"/>
          <w:sz w:val="28"/>
          <w:szCs w:val="28"/>
        </w:rPr>
        <w:t>ra.</w:t>
      </w:r>
    </w:p>
    <w:p w:rsidR="00C31CD9" w:rsidRDefault="007873F1">
      <w:pPr>
        <w:spacing w:before="240" w:after="240"/>
        <w:jc w:val="both"/>
        <w:rPr>
          <w:rFonts w:ascii="Arial" w:eastAsia="Arial" w:hAnsi="Arial" w:cs="Arial"/>
          <w:sz w:val="28"/>
          <w:szCs w:val="28"/>
        </w:rPr>
      </w:pPr>
      <w:r>
        <w:rPr>
          <w:rFonts w:ascii="Arial" w:eastAsia="Arial" w:hAnsi="Arial" w:cs="Arial"/>
          <w:sz w:val="28"/>
          <w:szCs w:val="28"/>
        </w:rPr>
        <w:t>Estas opciones forman parte de la oferta turística que puede consultarse a través del Pasaporte Nuevo León, una herramienta que integra experiencias, destinos y actividades disponibles en las distintas regiones del estado.</w:t>
      </w:r>
    </w:p>
    <w:p w:rsidR="00C31CD9" w:rsidRDefault="007873F1">
      <w:pPr>
        <w:spacing w:before="240" w:after="240"/>
        <w:jc w:val="both"/>
        <w:rPr>
          <w:rFonts w:ascii="Arial" w:eastAsia="Arial" w:hAnsi="Arial" w:cs="Arial"/>
          <w:sz w:val="28"/>
          <w:szCs w:val="28"/>
        </w:rPr>
      </w:pPr>
      <w:r>
        <w:rPr>
          <w:rFonts w:ascii="Arial" w:eastAsia="Arial" w:hAnsi="Arial" w:cs="Arial"/>
          <w:sz w:val="28"/>
          <w:szCs w:val="28"/>
        </w:rPr>
        <w:t>Para consultar información de</w:t>
      </w:r>
      <w:r>
        <w:rPr>
          <w:rFonts w:ascii="Arial" w:eastAsia="Arial" w:hAnsi="Arial" w:cs="Arial"/>
          <w:sz w:val="28"/>
          <w:szCs w:val="28"/>
        </w:rPr>
        <w:t>tallada sobre los sitios, regiones y experiencias disponibles, se invita a visitar nuevoleon.travel y las redes sociales oficiales de la Secretaría de Turismo de Nuevo León, a través de @</w:t>
      </w:r>
      <w:proofErr w:type="spellStart"/>
      <w:r>
        <w:rPr>
          <w:rFonts w:ascii="Arial" w:eastAsia="Arial" w:hAnsi="Arial" w:cs="Arial"/>
          <w:sz w:val="28"/>
          <w:szCs w:val="28"/>
        </w:rPr>
        <w:t>secturnl</w:t>
      </w:r>
      <w:proofErr w:type="spellEnd"/>
      <w:r>
        <w:rPr>
          <w:rFonts w:ascii="Arial" w:eastAsia="Arial" w:hAnsi="Arial" w:cs="Arial"/>
          <w:sz w:val="28"/>
          <w:szCs w:val="28"/>
        </w:rPr>
        <w:t xml:space="preserve"> y @</w:t>
      </w:r>
      <w:proofErr w:type="spellStart"/>
      <w:r>
        <w:rPr>
          <w:rFonts w:ascii="Arial" w:eastAsia="Arial" w:hAnsi="Arial" w:cs="Arial"/>
          <w:sz w:val="28"/>
          <w:szCs w:val="28"/>
        </w:rPr>
        <w:t>oseturnl</w:t>
      </w:r>
      <w:proofErr w:type="spellEnd"/>
      <w:r>
        <w:rPr>
          <w:rFonts w:ascii="Arial" w:eastAsia="Arial" w:hAnsi="Arial" w:cs="Arial"/>
          <w:sz w:val="28"/>
          <w:szCs w:val="28"/>
        </w:rPr>
        <w:t>.</w:t>
      </w:r>
    </w:p>
    <w:p w:rsidR="00C31CD9" w:rsidRDefault="00C31CD9">
      <w:pPr>
        <w:spacing w:before="240" w:after="240"/>
        <w:jc w:val="both"/>
        <w:rPr>
          <w:rFonts w:ascii="Arial" w:eastAsia="Arial" w:hAnsi="Arial" w:cs="Arial"/>
          <w:sz w:val="28"/>
          <w:szCs w:val="28"/>
        </w:rPr>
      </w:pPr>
      <w:bookmarkStart w:id="1" w:name="_heading=h.l1l3x7snhgqb" w:colFirst="0" w:colLast="0"/>
      <w:bookmarkEnd w:id="1"/>
    </w:p>
    <w:sectPr w:rsidR="00C31CD9">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3F1" w:rsidRDefault="007873F1">
      <w:r>
        <w:separator/>
      </w:r>
    </w:p>
  </w:endnote>
  <w:endnote w:type="continuationSeparator" w:id="0">
    <w:p w:rsidR="007873F1" w:rsidRDefault="00787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9242F0BD-6569-44EC-856F-89A6B4D29494}"/>
    <w:embedBold r:id="rId2" w:fontKey="{F861F426-BFBE-4679-95F3-05079A77B4C6}"/>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9DB347CA-BE8E-49F5-AE28-D11B29F682B9}"/>
  </w:font>
  <w:font w:name="Georgia">
    <w:panose1 w:val="02040502050405020303"/>
    <w:charset w:val="00"/>
    <w:family w:val="roman"/>
    <w:pitch w:val="variable"/>
    <w:sig w:usb0="00000287" w:usb1="00000000" w:usb2="00000000" w:usb3="00000000" w:csb0="0000009F" w:csb1="00000000"/>
    <w:embedItalic r:id="rId4" w:fontKey="{C36D0F97-263F-444C-92D9-BEE8B7A4F1C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D9" w:rsidRDefault="007873F1">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-1142995</wp:posOffset>
          </wp:positionH>
          <wp:positionV relativeFrom="paragraph">
            <wp:posOffset>32384</wp:posOffset>
          </wp:positionV>
          <wp:extent cx="7783830" cy="1337945"/>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C31CD9" w:rsidRDefault="00C31CD9">
    <w:pPr>
      <w:pBdr>
        <w:top w:val="nil"/>
        <w:left w:val="nil"/>
        <w:bottom w:val="nil"/>
        <w:right w:val="nil"/>
        <w:between w:val="nil"/>
      </w:pBdr>
      <w:tabs>
        <w:tab w:val="center" w:pos="4320"/>
        <w:tab w:val="right" w:pos="8640"/>
      </w:tabs>
      <w:rPr>
        <w:color w:val="000000"/>
      </w:rPr>
    </w:pPr>
  </w:p>
  <w:p w:rsidR="00C31CD9" w:rsidRDefault="00C31CD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3F1" w:rsidRDefault="007873F1">
      <w:r>
        <w:separator/>
      </w:r>
    </w:p>
  </w:footnote>
  <w:footnote w:type="continuationSeparator" w:id="0">
    <w:p w:rsidR="007873F1" w:rsidRDefault="00787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D9" w:rsidRDefault="007873F1">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-1151886</wp:posOffset>
          </wp:positionH>
          <wp:positionV relativeFrom="paragraph">
            <wp:posOffset>-1170301</wp:posOffset>
          </wp:positionV>
          <wp:extent cx="7792278" cy="12834818"/>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CD9"/>
    <w:rsid w:val="007873F1"/>
    <w:rsid w:val="00C31CD9"/>
    <w:rsid w:val="00E916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3F033-3EFE-4A68-A4A9-19539EC8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X0UqFtOTasne6VbbKJOofk9PQ==">CgMxLjAyDmgubDFsM3g3c25oZ3FiMg5oLmwxbDN4N3NuaGdxYjIOaC5sMWwzeDdzbmhncWIyDmgubDFsM3g3c25oZ3FiMg5oLmwxbDN4N3NuaGdxYjIOaC5sMWwzeDdzbmhncWIyDmgubDFsM3g3c25oZ3FiMg5oLmwxbDN4N3NuaGdxYjgAciExQ09KMXBvUFNKenFHSmlLdUFOeVUyLWVJWTFSRnR0UTc=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329</Words>
  <Characters>1814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Prensa</cp:lastModifiedBy>
  <cp:revision>2</cp:revision>
  <dcterms:created xsi:type="dcterms:W3CDTF">2026-01-02T14:59:00Z</dcterms:created>
  <dcterms:modified xsi:type="dcterms:W3CDTF">2026-01-02T14:59:00Z</dcterms:modified>
</cp:coreProperties>
</file>