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2C0A" w:rsidRDefault="008B2C0A"/>
    <w:p w:rsidR="008B2C0A" w:rsidRDefault="008B2C0A"/>
    <w:p w:rsidR="008B2C0A" w:rsidRDefault="00032C83">
      <w:pPr>
        <w:jc w:val="right"/>
        <w:rPr>
          <w:rFonts w:ascii="Calibri" w:eastAsia="Calibri" w:hAnsi="Calibri" w:cs="Calibri"/>
        </w:rPr>
      </w:pPr>
      <w:r>
        <w:rPr>
          <w:rFonts w:ascii="Calibri" w:eastAsia="Calibri" w:hAnsi="Calibri" w:cs="Calibri"/>
        </w:rPr>
        <w:t>07 de octubre de 2026</w:t>
      </w:r>
    </w:p>
    <w:p w:rsidR="008B2C0A" w:rsidRDefault="00032C83">
      <w:pPr>
        <w:jc w:val="right"/>
        <w:rPr>
          <w:rFonts w:ascii="Calibri" w:eastAsia="Calibri" w:hAnsi="Calibri" w:cs="Calibri"/>
          <w:b/>
          <w:bCs/>
        </w:rPr>
      </w:pPr>
      <w:r>
        <w:rPr>
          <w:rFonts w:ascii="Calibri" w:eastAsia="Calibri" w:hAnsi="Calibri" w:cs="Calibri"/>
          <w:b/>
          <w:bCs/>
        </w:rPr>
        <w:t>Comunicado de prensa</w:t>
      </w:r>
    </w:p>
    <w:p w:rsidR="008B2C0A" w:rsidRDefault="008B2C0A">
      <w:pPr>
        <w:rPr>
          <w:rFonts w:ascii="Calibri" w:eastAsia="Calibri" w:hAnsi="Calibri" w:cs="Calibri"/>
        </w:rPr>
      </w:pPr>
    </w:p>
    <w:p w:rsidR="008B2C0A" w:rsidRDefault="008B2C0A">
      <w:pPr>
        <w:rPr>
          <w:rFonts w:ascii="Calibri" w:eastAsia="Calibri" w:hAnsi="Calibri" w:cs="Calibri"/>
        </w:rPr>
      </w:pPr>
    </w:p>
    <w:p w:rsidR="008B2C0A" w:rsidRDefault="008B2C0A">
      <w:pPr>
        <w:rPr>
          <w:rFonts w:ascii="Calibri" w:eastAsia="Calibri" w:hAnsi="Calibri" w:cs="Calibri"/>
        </w:rPr>
      </w:pPr>
    </w:p>
    <w:p w:rsidR="008B2C0A" w:rsidRPr="00581450" w:rsidRDefault="00032C83" w:rsidP="00581450">
      <w:pPr>
        <w:jc w:val="center"/>
        <w:rPr>
          <w:b/>
          <w:bCs/>
          <w:sz w:val="28"/>
          <w:szCs w:val="36"/>
        </w:rPr>
      </w:pPr>
      <w:r w:rsidRPr="00581450">
        <w:rPr>
          <w:b/>
          <w:bCs/>
          <w:sz w:val="28"/>
          <w:szCs w:val="36"/>
        </w:rPr>
        <w:t>OBTIENE NUEVO LEÓN PRIMER LUGAR EN  SUPERVISIÓN PENITENCIARIA 2025 DE LA COMISIÓN NACIONAL DE DERECHOS HUMANOS</w:t>
      </w:r>
    </w:p>
    <w:p w:rsidR="008B2C0A" w:rsidRDefault="008B2C0A">
      <w:pPr>
        <w:rPr>
          <w:b/>
          <w:bCs/>
          <w:sz w:val="36"/>
          <w:szCs w:val="36"/>
        </w:rPr>
      </w:pPr>
    </w:p>
    <w:p w:rsidR="008B2C0A" w:rsidRDefault="00032C83">
      <w:pPr>
        <w:numPr>
          <w:ilvl w:val="0"/>
          <w:numId w:val="1"/>
        </w:numPr>
        <w:rPr>
          <w:i/>
          <w:iCs/>
          <w:sz w:val="24"/>
          <w:szCs w:val="24"/>
        </w:rPr>
      </w:pPr>
      <w:r>
        <w:rPr>
          <w:i/>
          <w:iCs/>
          <w:sz w:val="24"/>
          <w:szCs w:val="24"/>
        </w:rPr>
        <w:t>El sistema penitenciario de Nuevo León obtuvo una calificación de 7.02 a nivel nacional.</w:t>
      </w:r>
    </w:p>
    <w:p w:rsidR="008B2C0A" w:rsidRDefault="008B2C0A">
      <w:pPr>
        <w:rPr>
          <w:b/>
          <w:bCs/>
          <w:sz w:val="36"/>
          <w:szCs w:val="36"/>
        </w:rPr>
      </w:pPr>
    </w:p>
    <w:p w:rsidR="008B2C0A" w:rsidRDefault="00032C83">
      <w:pPr>
        <w:jc w:val="both"/>
        <w:rPr>
          <w:sz w:val="24"/>
          <w:szCs w:val="24"/>
        </w:rPr>
      </w:pPr>
      <w:r>
        <w:rPr>
          <w:b/>
          <w:bCs/>
          <w:sz w:val="24"/>
          <w:szCs w:val="24"/>
        </w:rPr>
        <w:t xml:space="preserve">Monterrey, N.L.- </w:t>
      </w:r>
      <w:r>
        <w:rPr>
          <w:sz w:val="24"/>
          <w:szCs w:val="24"/>
        </w:rPr>
        <w:t>Por primera vez en la historia penitenciaria de Nuevo León, los cuatro Centros de Reinserción Social (Cereso</w:t>
      </w:r>
      <w:bookmarkStart w:id="0" w:name="_GoBack"/>
      <w:bookmarkEnd w:id="0"/>
      <w:r>
        <w:rPr>
          <w:sz w:val="24"/>
          <w:szCs w:val="24"/>
        </w:rPr>
        <w:t xml:space="preserve">) estatales obtuvieron el primer lugar nacional en el “Diagnóstico Nacional de Supervisión Penitenciaria”, que realiza la Comisión </w:t>
      </w:r>
      <w:r>
        <w:rPr>
          <w:sz w:val="24"/>
          <w:szCs w:val="24"/>
        </w:rPr>
        <w:t>Nacional de Derechos Humanos (CNDH).</w:t>
      </w:r>
    </w:p>
    <w:p w:rsidR="008B2C0A" w:rsidRDefault="008B2C0A">
      <w:pPr>
        <w:jc w:val="both"/>
        <w:rPr>
          <w:sz w:val="24"/>
          <w:szCs w:val="24"/>
        </w:rPr>
      </w:pPr>
    </w:p>
    <w:p w:rsidR="008B2C0A" w:rsidRDefault="00032C83">
      <w:pPr>
        <w:jc w:val="both"/>
        <w:rPr>
          <w:sz w:val="24"/>
          <w:szCs w:val="24"/>
        </w:rPr>
      </w:pPr>
      <w:r>
        <w:rPr>
          <w:sz w:val="24"/>
          <w:szCs w:val="24"/>
        </w:rPr>
        <w:t>El organismo público presentó los resultados de evaluación de los centros penitenciarios del país, en la cual los Centros de Reinserción Social No.1 Norte y No.2 Norte (Salinas Victoria), No.3 Oriente (Cadereyta) y Fem</w:t>
      </w:r>
      <w:r>
        <w:rPr>
          <w:sz w:val="24"/>
          <w:szCs w:val="24"/>
        </w:rPr>
        <w:t>enil de (Escobedo); resultaron con una puntuación de 7.02, Como parte de los resultados, se destacaron las condiciones de gobernabilidad al interior de cada uno, ante la inexistencia de autogobierno por parte de las personas privadas de la libertad, así co</w:t>
      </w:r>
      <w:r>
        <w:rPr>
          <w:sz w:val="24"/>
          <w:szCs w:val="24"/>
        </w:rPr>
        <w:t>mo de cobros, extorsión y/o sobornos.</w:t>
      </w:r>
    </w:p>
    <w:p w:rsidR="008B2C0A" w:rsidRDefault="008B2C0A">
      <w:pPr>
        <w:jc w:val="both"/>
        <w:rPr>
          <w:sz w:val="24"/>
          <w:szCs w:val="24"/>
        </w:rPr>
      </w:pPr>
    </w:p>
    <w:p w:rsidR="008B2C0A" w:rsidRDefault="00032C83">
      <w:pPr>
        <w:jc w:val="both"/>
        <w:rPr>
          <w:sz w:val="24"/>
          <w:szCs w:val="24"/>
        </w:rPr>
      </w:pPr>
      <w:r>
        <w:rPr>
          <w:sz w:val="24"/>
          <w:szCs w:val="24"/>
        </w:rPr>
        <w:t>En la evaluación, la CNDH resalta una apropiada atención en el tema de Reinserción Social,  como actividades laborales y de capacitación, deportivas, la integración de expedientes y el funcionamiento del Comité Técnic</w:t>
      </w:r>
      <w:r>
        <w:rPr>
          <w:sz w:val="24"/>
          <w:szCs w:val="24"/>
        </w:rPr>
        <w:t>o. Entre otros aspectos que fueron evaluados, fueron la distribución de espacios y atención que garantiza la integridad de las Personas Privadas de la Libertad.</w:t>
      </w:r>
    </w:p>
    <w:p w:rsidR="008B2C0A" w:rsidRDefault="008B2C0A">
      <w:pPr>
        <w:jc w:val="both"/>
        <w:rPr>
          <w:sz w:val="24"/>
          <w:szCs w:val="24"/>
        </w:rPr>
      </w:pPr>
    </w:p>
    <w:p w:rsidR="008B2C0A" w:rsidRDefault="00032C83">
      <w:pPr>
        <w:jc w:val="both"/>
        <w:rPr>
          <w:sz w:val="24"/>
          <w:szCs w:val="24"/>
        </w:rPr>
      </w:pPr>
      <w:r>
        <w:rPr>
          <w:sz w:val="24"/>
          <w:szCs w:val="24"/>
        </w:rPr>
        <w:t xml:space="preserve">Además, en el diagnóstico se observó una apropiada atención en el tema de estancia digna como </w:t>
      </w:r>
      <w:r>
        <w:rPr>
          <w:sz w:val="24"/>
          <w:szCs w:val="24"/>
        </w:rPr>
        <w:t xml:space="preserve">las condiciones materiales e higiene de instalaciones de áreas médicas, para </w:t>
      </w:r>
      <w:r>
        <w:rPr>
          <w:sz w:val="24"/>
          <w:szCs w:val="24"/>
        </w:rPr>
        <w:lastRenderedPageBreak/>
        <w:t>la comunicación con el exterior, en los talleres y/o áreas deportivas, así como la existencia y capacidad de instalaciones necesarias para el funcionamiento de los Centros peniten</w:t>
      </w:r>
      <w:r>
        <w:rPr>
          <w:sz w:val="24"/>
          <w:szCs w:val="24"/>
        </w:rPr>
        <w:t>ciarios.</w:t>
      </w:r>
    </w:p>
    <w:p w:rsidR="008B2C0A" w:rsidRDefault="008B2C0A">
      <w:pPr>
        <w:jc w:val="both"/>
        <w:rPr>
          <w:sz w:val="24"/>
          <w:szCs w:val="24"/>
        </w:rPr>
      </w:pPr>
    </w:p>
    <w:p w:rsidR="008B2C0A" w:rsidRDefault="00032C83">
      <w:pPr>
        <w:jc w:val="both"/>
        <w:rPr>
          <w:sz w:val="24"/>
          <w:szCs w:val="24"/>
        </w:rPr>
      </w:pPr>
      <w:r>
        <w:rPr>
          <w:sz w:val="24"/>
          <w:szCs w:val="24"/>
        </w:rPr>
        <w:t>Tras largos años de autogobiernos y violencia, hoy los Centros Penitenciarios trabajan con personal capacitado, con las herramientas necesarias y una infraestructura adecuada para mantener la paz del Estado de Nuevo León.</w:t>
      </w:r>
    </w:p>
    <w:p w:rsidR="008B2C0A" w:rsidRDefault="008B2C0A">
      <w:pPr>
        <w:rPr>
          <w:sz w:val="24"/>
          <w:szCs w:val="24"/>
        </w:rPr>
      </w:pPr>
    </w:p>
    <w:p w:rsidR="008B2C0A" w:rsidRDefault="008B2C0A">
      <w:pPr>
        <w:rPr>
          <w:sz w:val="24"/>
          <w:szCs w:val="24"/>
        </w:rPr>
      </w:pPr>
    </w:p>
    <w:p w:rsidR="008B2C0A" w:rsidRDefault="008B2C0A">
      <w:pPr>
        <w:rPr>
          <w:sz w:val="24"/>
          <w:szCs w:val="24"/>
        </w:rPr>
      </w:pPr>
    </w:p>
    <w:p w:rsidR="008B2C0A" w:rsidRDefault="00032C83">
      <w:pPr>
        <w:rPr>
          <w:sz w:val="24"/>
          <w:szCs w:val="24"/>
        </w:rPr>
      </w:pPr>
      <w:r>
        <w:rPr>
          <w:noProof/>
          <w:sz w:val="24"/>
          <w:szCs w:val="24"/>
        </w:rPr>
        <w:drawing>
          <wp:anchor distT="0" distB="0" distL="114300" distR="114300" simplePos="0" relativeHeight="251658240" behindDoc="0" locked="0" layoutInCell="1" hidden="0" allowOverlap="1">
            <wp:simplePos x="0" y="0"/>
            <wp:positionH relativeFrom="page">
              <wp:posOffset>1133475</wp:posOffset>
            </wp:positionH>
            <wp:positionV relativeFrom="page">
              <wp:posOffset>8534168</wp:posOffset>
            </wp:positionV>
            <wp:extent cx="5508596" cy="1757548"/>
            <wp:effectExtent l="0" t="0" r="0" b="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508596" cy="1757548"/>
                    </a:xfrm>
                    <a:prstGeom prst="rect">
                      <a:avLst/>
                    </a:prstGeom>
                    <a:ln/>
                  </pic:spPr>
                </pic:pic>
              </a:graphicData>
            </a:graphic>
          </wp:anchor>
        </w:drawing>
      </w:r>
    </w:p>
    <w:sectPr w:rsidR="008B2C0A">
      <w:headerReference w:type="default" r:id="rId9"/>
      <w:footerReference w:type="default" r:id="rId10"/>
      <w:pgSz w:w="12240" w:h="15840"/>
      <w:pgMar w:top="566" w:right="1440" w:bottom="2088" w:left="1440" w:header="213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2C83" w:rsidRDefault="00032C83">
      <w:pPr>
        <w:spacing w:line="240" w:lineRule="auto"/>
      </w:pPr>
      <w:r>
        <w:separator/>
      </w:r>
    </w:p>
  </w:endnote>
  <w:endnote w:type="continuationSeparator" w:id="0">
    <w:p w:rsidR="00032C83" w:rsidRDefault="00032C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D42D2AD7-BEC0-42AF-AC89-7BD72CD4FC23}"/>
    <w:embedBold r:id="rId2" w:fontKey="{752A5D08-83E5-4C78-9203-A8DDFDE31C79}"/>
  </w:font>
  <w:font w:name="Cambria">
    <w:panose1 w:val="02040503050406030204"/>
    <w:charset w:val="00"/>
    <w:family w:val="roman"/>
    <w:pitch w:val="variable"/>
    <w:sig w:usb0="E00006FF" w:usb1="420024FF" w:usb2="02000000" w:usb3="00000000" w:csb0="0000019F" w:csb1="00000000"/>
    <w:embedRegular r:id="rId3" w:fontKey="{961A1D56-A085-450C-9BE1-1EBCB2DDCB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2C0A" w:rsidRDefault="00032C83">
    <w:pPr>
      <w:rPr>
        <w:sz w:val="24"/>
        <w:szCs w:val="24"/>
      </w:rPr>
    </w:pPr>
    <w:r>
      <w:rPr>
        <w:noProof/>
      </w:rPr>
      <w:drawing>
        <wp:anchor distT="0" distB="0" distL="114300" distR="114300" simplePos="0" relativeHeight="251660288" behindDoc="0" locked="0" layoutInCell="1" hidden="0" allowOverlap="1">
          <wp:simplePos x="0" y="0"/>
          <wp:positionH relativeFrom="column">
            <wp:posOffset>219075</wp:posOffset>
          </wp:positionH>
          <wp:positionV relativeFrom="paragraph">
            <wp:posOffset>3933825</wp:posOffset>
          </wp:positionV>
          <wp:extent cx="5508596" cy="1757548"/>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508596" cy="1757548"/>
                  </a:xfrm>
                  <a:prstGeom prst="rect">
                    <a:avLst/>
                  </a:prstGeom>
                  <a:ln/>
                </pic:spPr>
              </pic:pic>
            </a:graphicData>
          </a:graphic>
        </wp:anchor>
      </w:drawing>
    </w:r>
  </w:p>
  <w:p w:rsidR="008B2C0A" w:rsidRDefault="008B2C0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2C83" w:rsidRDefault="00032C83">
      <w:pPr>
        <w:spacing w:line="240" w:lineRule="auto"/>
      </w:pPr>
      <w:r>
        <w:separator/>
      </w:r>
    </w:p>
  </w:footnote>
  <w:footnote w:type="continuationSeparator" w:id="0">
    <w:p w:rsidR="00032C83" w:rsidRDefault="00032C8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2C0A" w:rsidRDefault="00032C83">
    <w:r>
      <w:rPr>
        <w:noProof/>
      </w:rPr>
      <w:drawing>
        <wp:anchor distT="0" distB="0" distL="114300" distR="114300" simplePos="0" relativeHeight="251658240" behindDoc="0" locked="0" layoutInCell="1" hidden="0" allowOverlap="1">
          <wp:simplePos x="0" y="0"/>
          <wp:positionH relativeFrom="page">
            <wp:posOffset>914400</wp:posOffset>
          </wp:positionH>
          <wp:positionV relativeFrom="page">
            <wp:posOffset>533400</wp:posOffset>
          </wp:positionV>
          <wp:extent cx="1483563" cy="712520"/>
          <wp:effectExtent l="0" t="0" r="0" b="0"/>
          <wp:wrapNone/>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483563" cy="712520"/>
                  </a:xfrm>
                  <a:prstGeom prst="rect">
                    <a:avLst/>
                  </a:prstGeom>
                  <a:ln/>
                </pic:spPr>
              </pic:pic>
            </a:graphicData>
          </a:graphic>
        </wp:anchor>
      </w:drawing>
    </w:r>
    <w:r>
      <w:rPr>
        <w:noProof/>
      </w:rPr>
      <w:drawing>
        <wp:anchor distT="0" distB="0" distL="114300" distR="114300" simplePos="0" relativeHeight="251659264" behindDoc="0" locked="0" layoutInCell="1" hidden="0" allowOverlap="1">
          <wp:simplePos x="0" y="0"/>
          <wp:positionH relativeFrom="page">
            <wp:posOffset>5991225</wp:posOffset>
          </wp:positionH>
          <wp:positionV relativeFrom="page">
            <wp:posOffset>428625</wp:posOffset>
          </wp:positionV>
          <wp:extent cx="723952" cy="926276"/>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23952" cy="926276"/>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C006A9"/>
    <w:multiLevelType w:val="multilevel"/>
    <w:tmpl w:val="5E8CB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C0A"/>
    <w:rsid w:val="00032C83"/>
    <w:rsid w:val="00581450"/>
    <w:rsid w:val="008B2C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DC1817-894D-423E-ABF5-E60EB18C0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MX" w:eastAsia="es-MX"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72BQmC21xve1NJNATBIJBJMsOQ==">CgMxLjA4AHIhMXJ3MV95QUZHT1pheFYyNlJCd3pWX09PTHo3YWJ4YjJm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311</Words>
  <Characters>1712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Guadalupe Rodriguez Flores</dc:creator>
  <cp:lastModifiedBy>Andrea Guadalupe Rodriguez Flores</cp:lastModifiedBy>
  <cp:revision>2</cp:revision>
  <dcterms:created xsi:type="dcterms:W3CDTF">2026-10-08T16:57:00Z</dcterms:created>
  <dcterms:modified xsi:type="dcterms:W3CDTF">2026-10-08T16:57:00Z</dcterms:modified>
</cp:coreProperties>
</file>