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CP/0824/2026</w:t>
      </w:r>
    </w:p>
    <w:p w:rsidR="00000000" w:rsidDel="00000000" w:rsidP="00000000" w:rsidRDefault="00000000" w:rsidRPr="00000000" w14:paraId="00000002">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4 de junio de 2026</w:t>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line="240" w:lineRule="auto"/>
        <w:jc w:val="center"/>
        <w:rPr>
          <w:rFonts w:ascii="Arial" w:cs="Arial" w:eastAsia="Arial" w:hAnsi="Arial"/>
          <w:b w:val="1"/>
          <w:bCs w:val="1"/>
          <w:sz w:val="28"/>
          <w:szCs w:val="28"/>
        </w:rPr>
      </w:pPr>
      <w:bookmarkStart w:colFirst="0" w:colLast="0" w:name="_355y76xpyjif" w:id="0"/>
      <w:bookmarkEnd w:id="0"/>
      <w:r w:rsidDel="00000000" w:rsidR="00000000" w:rsidRPr="00000000">
        <w:rPr>
          <w:rFonts w:ascii="Arial" w:cs="Arial" w:eastAsia="Arial" w:hAnsi="Arial"/>
          <w:b w:val="1"/>
          <w:bCs w:val="1"/>
          <w:sz w:val="28"/>
          <w:szCs w:val="28"/>
          <w:rtl w:val="0"/>
        </w:rPr>
        <w:t xml:space="preserve">FIRMAN GOBIERNO Y SOCIEDAD CIVIL ACUERDOS PARA FORTALECER LA INCLUSIÓN DE PERSONAS CON DISCAPACIDAD EN NL</w:t>
      </w:r>
    </w:p>
    <w:p w:rsidR="00000000" w:rsidDel="00000000" w:rsidP="00000000" w:rsidRDefault="00000000" w:rsidRPr="00000000" w14:paraId="00000005">
      <w:pPr>
        <w:spacing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i w:val="1"/>
          <w:iCs w:val="1"/>
          <w:smallCaps w:val="0"/>
          <w:strike w:val="0"/>
          <w:color w:val="000000"/>
          <w:shd w:fill="auto" w:val="clear"/>
          <w:vertAlign w:val="baseline"/>
        </w:rPr>
      </w:pPr>
      <w:r w:rsidDel="00000000" w:rsidR="00000000" w:rsidRPr="00000000">
        <w:rPr>
          <w:rFonts w:ascii="Arial" w:cs="Arial" w:eastAsia="Arial" w:hAnsi="Arial"/>
          <w:i w:val="1"/>
          <w:iCs w:val="1"/>
          <w:rtl w:val="0"/>
        </w:rPr>
        <w:t xml:space="preserve">Encabeza Daniel Acosta audiencia pública con seis dependencias estatales y el Instituto Ganbaru Centro LUCA; mesas de trabajo iniciarán en agosto con seguimiento puntual.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p w:rsidR="00000000" w:rsidDel="00000000" w:rsidP="00000000" w:rsidRDefault="00000000" w:rsidRPr="00000000" w14:paraId="00000008">
      <w:pPr>
        <w:spacing w:line="240" w:lineRule="auto"/>
        <w:jc w:val="both"/>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Monterrey, Nuevo León.- </w:t>
      </w:r>
      <w:r w:rsidDel="00000000" w:rsidR="00000000" w:rsidRPr="00000000">
        <w:rPr>
          <w:rFonts w:ascii="Arial" w:cs="Arial" w:eastAsia="Arial" w:hAnsi="Arial"/>
          <w:sz w:val="28"/>
          <w:szCs w:val="28"/>
          <w:rtl w:val="0"/>
        </w:rPr>
        <w:t xml:space="preserve">Para fortalecer la inclusión de las personas con discapacidad, el Gobierno de Nuevo León y la asociación civil Instituto Ganbaru, Centro LUCA, firmaron acuerdos orientados a garantizar el ejercicio efectivo de sus derechos, con mesas de trabajo que iniciarán en agosto.</w:t>
      </w:r>
    </w:p>
    <w:p w:rsidR="00000000" w:rsidDel="00000000" w:rsidP="00000000" w:rsidRDefault="00000000" w:rsidRPr="00000000" w14:paraId="00000009">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A">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Los compromisos surgieron de la Audiencia Pública "Acciones Institucionales para Fortalecer la Inclusión de las Personas con Discapacidad", convocada por la Secretaría de Participación Ciudadana a partir de una solicitud del propio Instituto Ganbaru.</w:t>
      </w:r>
    </w:p>
    <w:p w:rsidR="00000000" w:rsidDel="00000000" w:rsidP="00000000" w:rsidRDefault="00000000" w:rsidRPr="00000000" w14:paraId="0000000B">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C">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Entre los acuerdos más relevantes destaca la instalación de mesas de trabajo trimestrales durante un año, coordinadas por la Secretaría de Participación Ciudadana, para fortalecer la coordinación interinstitucional, el intercambio de información y el seguimiento de acciones. La primera quedó prevista para agosto.</w:t>
      </w:r>
    </w:p>
    <w:p w:rsidR="00000000" w:rsidDel="00000000" w:rsidP="00000000" w:rsidRDefault="00000000" w:rsidRPr="00000000" w14:paraId="0000000D">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E">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Se acordó también impulsar capacitación progresiva para el personal de dependencias estatales en temas como modelo social de discapacidad, accesibilidad universal, ajustes razonables, diseño universal, trato digno, lenguaje claro, accesibilidad cognitiva y no discriminación en trámites y servicios públicos.</w:t>
      </w:r>
    </w:p>
    <w:p w:rsidR="00000000" w:rsidDel="00000000" w:rsidP="00000000" w:rsidRDefault="00000000" w:rsidRPr="00000000" w14:paraId="0000000F">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0">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 ello se suma el compromiso del Instituto de Control Vehicular de publicar información accesible sobre sus trámites, en formatos de lectura fácil y compatibles con tecnologías de asistencia.</w:t>
      </w:r>
    </w:p>
    <w:p w:rsidR="00000000" w:rsidDel="00000000" w:rsidP="00000000" w:rsidRDefault="00000000" w:rsidRPr="00000000" w14:paraId="00000011">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2">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 Audiencia derivó de una solicitud del Instituto Ganbaru, Centro LUCA, para mejorar la accesibilidad en los trámites y la atención que las personas con discapacidad reciben por parte de las dependencias del Gobierno del Estado.</w:t>
      </w:r>
    </w:p>
    <w:p w:rsidR="00000000" w:rsidDel="00000000" w:rsidP="00000000" w:rsidRDefault="00000000" w:rsidRPr="00000000" w14:paraId="00000013">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4">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Por la sociedad civil participaron Jorge Alberto Carrizales Sánchez, fundador del Instituto Ganbaru, Centro LUCA; Cinthia Jazmín Moncada Juárez y Magda Escalón Leija, quienes presentaron los antecedentes, puntos clave y propuestas de acuerdo.</w:t>
      </w:r>
    </w:p>
    <w:p w:rsidR="00000000" w:rsidDel="00000000" w:rsidP="00000000" w:rsidRDefault="00000000" w:rsidRPr="00000000" w14:paraId="00000015">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6">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El encuentro reunió a la Secretaría de Educación, la Secretaría de Igualdad e Inclusión, el Instituto de Control Vehicular, el DIF, la Procuraduría de la Defensa de las Personas con Discapacidad y la Secretaría General de Gobierno.</w:t>
      </w:r>
    </w:p>
    <w:p w:rsidR="00000000" w:rsidDel="00000000" w:rsidP="00000000" w:rsidRDefault="00000000" w:rsidRPr="00000000" w14:paraId="00000017">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8">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El Secretario de Participación Ciudadana, Daniel Acosta, subrayó que la accesibilidad debe entenderse como un derecho que se vive en lo cotidiano.</w:t>
      </w:r>
    </w:p>
    <w:p w:rsidR="00000000" w:rsidDel="00000000" w:rsidP="00000000" w:rsidRDefault="00000000" w:rsidRPr="00000000" w14:paraId="00000019">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A">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 accesibilidad no es un concepto. Es si la banqueta tiene rampa o no. Es si el formulario tiene letra que se puede leer. Es si la persona en la ventanilla te trata con dignidad, no con paciencia fingida. Eso no es un favor. Es un derecho", expresó Acosta.</w:t>
      </w:r>
    </w:p>
    <w:p w:rsidR="00000000" w:rsidDel="00000000" w:rsidP="00000000" w:rsidRDefault="00000000" w:rsidRPr="00000000" w14:paraId="0000001B">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C">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Los acuerdos firmados, añadió, representan compromisos con seguimiento.</w:t>
      </w:r>
    </w:p>
    <w:p w:rsidR="00000000" w:rsidDel="00000000" w:rsidP="00000000" w:rsidRDefault="00000000" w:rsidRPr="00000000" w14:paraId="0000001D">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E">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"Los acuerdos que firmamos hoy no son palabras. Son mesas de trabajo que arrancan en agosto. Son capacitaciones para que quien atiende, entienda. Son trámites pensados para las personas, no para los expedientes. Y yo me comprometo, personalmente, a darles seguimiento", puntualizó.</w:t>
      </w:r>
    </w:p>
    <w:p w:rsidR="00000000" w:rsidDel="00000000" w:rsidP="00000000" w:rsidRDefault="00000000" w:rsidRPr="00000000" w14:paraId="0000001F">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0">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Ariadne García, Directora de Implementación de Instrumentos y Mecanismos de Participación Ciudadana, destacó la importancia de mantener abiertos los canales de escucha entre ciudadanía y Gobierno.</w:t>
      </w:r>
    </w:p>
    <w:p w:rsidR="00000000" w:rsidDel="00000000" w:rsidP="00000000" w:rsidRDefault="00000000" w:rsidRPr="00000000" w14:paraId="00000021">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2">
      <w:pPr>
        <w:spacing w:lin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"Refrendamos nuestro compromiso de seguir impulsando espacios de diálogo que permitan escuchar las voces de las personas con discapacidad y fortalecer acciones para avanzar hacia un Nuevo León más accesible, incluyente y con igualdad de oportunidades", apuntó García.</w:t>
      </w:r>
    </w:p>
    <w:sectPr>
      <w:headerReference r:id="rId6" w:type="default"/>
      <w:footerReference r:id="rId7" w:type="default"/>
      <w:pgSz w:h="15840" w:w="12240" w:orient="portrait"/>
      <w:pgMar w:bottom="1618" w:top="2516" w:left="1800" w:right="1800" w:header="720" w:footer="15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-1142995</wp:posOffset>
          </wp:positionH>
          <wp:positionV relativeFrom="paragraph">
            <wp:posOffset>32384</wp:posOffset>
          </wp:positionV>
          <wp:extent cx="7783830" cy="1337945"/>
          <wp:effectExtent b="0" l="0" r="0" t="0"/>
          <wp:wrapNone/>
          <wp:docPr id="2" name="image2.png"/>
          <a:graphic>
            <a:graphicData uri="http://schemas.openxmlformats.org/drawingml/2006/picture">
              <pic:pic>
                <pic:nvPicPr>
                  <pic:cNvPr id="0" name="image2.png"/>
                  <pic:cNvPicPr preferRelativeResize="0"/>
                </pic:nvPicPr>
                <pic:blipFill>
                  <a:blip r:embed="rId1"/>
                  <a:srcRect b="0" l="0" r="0" t="86716"/>
                  <a:stretch>
                    <a:fillRect/>
                  </a:stretch>
                </pic:blipFill>
                <pic:spPr>
                  <a:xfrm>
                    <a:off x="0" y="0"/>
                    <a:ext cx="7783830" cy="1337945"/>
                  </a:xfrm>
                  <a:prstGeom prst="rect"/>
                  <a:ln/>
                </pic:spPr>
              </pic:pic>
            </a:graphicData>
          </a:graphic>
        </wp:anchor>
      </w:drawing>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173"/>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-1151886</wp:posOffset>
          </wp:positionH>
          <wp:positionV relativeFrom="paragraph">
            <wp:posOffset>-1170301</wp:posOffset>
          </wp:positionV>
          <wp:extent cx="7792278" cy="1283481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2278" cy="128348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