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41BA169A" w:rsidR="009C0D7E" w:rsidRPr="004667B8" w:rsidRDefault="0037033E" w:rsidP="009C0D7E">
      <w:pPr>
        <w:jc w:val="right"/>
        <w:rPr>
          <w:rFonts w:ascii="Arial" w:hAnsi="Arial" w:cs="Arial"/>
          <w:b/>
          <w:sz w:val="22"/>
          <w:lang w:val="es-ES"/>
        </w:rPr>
      </w:pPr>
      <w:r>
        <w:rPr>
          <w:rFonts w:ascii="Arial" w:hAnsi="Arial" w:cs="Arial"/>
          <w:b/>
          <w:sz w:val="22"/>
          <w:lang w:val="es-ES"/>
        </w:rPr>
        <w:t>CP/1445</w:t>
      </w:r>
      <w:r w:rsidR="007D065D">
        <w:rPr>
          <w:rFonts w:ascii="Arial" w:hAnsi="Arial" w:cs="Arial"/>
          <w:b/>
          <w:sz w:val="22"/>
          <w:lang w:val="es-ES"/>
        </w:rPr>
        <w:t>/2026</w:t>
      </w:r>
    </w:p>
    <w:p w14:paraId="3F7360A1" w14:textId="3596BA7C" w:rsidR="009C0D7E" w:rsidRDefault="0037033E" w:rsidP="009C0D7E">
      <w:pPr>
        <w:jc w:val="right"/>
        <w:rPr>
          <w:rFonts w:ascii="Arial" w:hAnsi="Arial" w:cs="Arial"/>
          <w:sz w:val="22"/>
          <w:lang w:val="es-ES"/>
        </w:rPr>
      </w:pPr>
      <w:r>
        <w:rPr>
          <w:rFonts w:ascii="Arial" w:hAnsi="Arial" w:cs="Arial"/>
          <w:sz w:val="22"/>
          <w:lang w:val="es-ES"/>
        </w:rPr>
        <w:t>12</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467AD66E" w:rsidR="00E23F8F" w:rsidRDefault="0037033E" w:rsidP="007F5780">
      <w:pPr>
        <w:jc w:val="center"/>
        <w:rPr>
          <w:rFonts w:ascii="Arial" w:hAnsi="Arial" w:cs="Arial"/>
          <w:b/>
          <w:sz w:val="28"/>
          <w:szCs w:val="28"/>
        </w:rPr>
      </w:pPr>
      <w:bookmarkStart w:id="0" w:name="_GoBack"/>
      <w:r w:rsidRPr="0037033E">
        <w:rPr>
          <w:rFonts w:ascii="Arial" w:hAnsi="Arial" w:cs="Arial"/>
          <w:b/>
          <w:sz w:val="28"/>
          <w:szCs w:val="28"/>
        </w:rPr>
        <w:t>CONSOLIDA NUEVO LEÓN FINANZAS SANAS Y AUTONOMÍA FISCAL</w:t>
      </w:r>
    </w:p>
    <w:bookmarkEnd w:id="0"/>
    <w:p w14:paraId="71810DF4" w14:textId="77777777" w:rsidR="0037033E" w:rsidRDefault="0037033E" w:rsidP="007F5780">
      <w:pPr>
        <w:jc w:val="center"/>
        <w:rPr>
          <w:rFonts w:ascii="Arial" w:hAnsi="Arial" w:cs="Arial"/>
          <w:b/>
          <w:sz w:val="28"/>
          <w:szCs w:val="28"/>
        </w:rPr>
      </w:pPr>
    </w:p>
    <w:p w14:paraId="4A7C0217" w14:textId="0262EDAF" w:rsidR="0037033E" w:rsidRPr="0037033E" w:rsidRDefault="0037033E" w:rsidP="0037033E">
      <w:pPr>
        <w:pStyle w:val="Prrafodelista"/>
        <w:numPr>
          <w:ilvl w:val="0"/>
          <w:numId w:val="19"/>
        </w:numPr>
        <w:jc w:val="both"/>
        <w:rPr>
          <w:rFonts w:ascii="Arial" w:hAnsi="Arial" w:cs="Arial"/>
          <w:i/>
          <w:sz w:val="24"/>
          <w:szCs w:val="24"/>
        </w:rPr>
      </w:pPr>
      <w:r w:rsidRPr="0037033E">
        <w:rPr>
          <w:rFonts w:ascii="Arial" w:hAnsi="Arial" w:cs="Arial"/>
          <w:i/>
          <w:sz w:val="24"/>
          <w:szCs w:val="24"/>
        </w:rPr>
        <w:t>Destaca la entida</w:t>
      </w:r>
      <w:r>
        <w:rPr>
          <w:rFonts w:ascii="Arial" w:hAnsi="Arial" w:cs="Arial"/>
          <w:i/>
          <w:sz w:val="24"/>
          <w:szCs w:val="24"/>
        </w:rPr>
        <w:t xml:space="preserve">d destaca en el top 5 nacional </w:t>
      </w:r>
      <w:r w:rsidRPr="0037033E">
        <w:rPr>
          <w:rFonts w:ascii="Arial" w:hAnsi="Arial" w:cs="Arial"/>
          <w:i/>
          <w:sz w:val="24"/>
          <w:szCs w:val="24"/>
        </w:rPr>
        <w:t>en autonomía financiera.</w:t>
      </w:r>
    </w:p>
    <w:p w14:paraId="501031D3" w14:textId="6456BCF5" w:rsidR="00C27394" w:rsidRPr="0037033E" w:rsidRDefault="0037033E" w:rsidP="0037033E">
      <w:pPr>
        <w:pStyle w:val="Prrafodelista"/>
        <w:numPr>
          <w:ilvl w:val="0"/>
          <w:numId w:val="19"/>
        </w:numPr>
        <w:jc w:val="both"/>
        <w:rPr>
          <w:rFonts w:ascii="Arial" w:hAnsi="Arial" w:cs="Arial"/>
          <w:i/>
          <w:sz w:val="24"/>
          <w:szCs w:val="24"/>
        </w:rPr>
      </w:pPr>
      <w:r w:rsidRPr="0037033E">
        <w:rPr>
          <w:rFonts w:ascii="Arial" w:hAnsi="Arial" w:cs="Arial"/>
          <w:i/>
          <w:sz w:val="24"/>
          <w:szCs w:val="24"/>
        </w:rPr>
        <w:t>Mantiene deuda en semáforo verde ante la SHCP.</w:t>
      </w:r>
    </w:p>
    <w:p w14:paraId="234EFBA6" w14:textId="77777777" w:rsidR="00145430" w:rsidRDefault="00145430" w:rsidP="00DA13CA">
      <w:pPr>
        <w:jc w:val="both"/>
        <w:rPr>
          <w:rFonts w:ascii="Arial" w:hAnsi="Arial" w:cs="Arial"/>
          <w:b/>
          <w:sz w:val="28"/>
          <w:szCs w:val="28"/>
        </w:rPr>
      </w:pPr>
    </w:p>
    <w:p w14:paraId="501E9474" w14:textId="6D11D4E8" w:rsidR="0037033E" w:rsidRPr="0037033E" w:rsidRDefault="00BF1FBE" w:rsidP="0037033E">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37033E" w:rsidRPr="0037033E">
        <w:rPr>
          <w:rFonts w:ascii="Arial" w:hAnsi="Arial" w:cs="Arial"/>
          <w:sz w:val="28"/>
          <w:szCs w:val="28"/>
        </w:rPr>
        <w:t>Nuevo León mantiene solidez y transparencia en sus finanzas.</w:t>
      </w:r>
    </w:p>
    <w:p w14:paraId="6021C496" w14:textId="77777777" w:rsidR="0037033E" w:rsidRDefault="0037033E" w:rsidP="0037033E">
      <w:pPr>
        <w:jc w:val="both"/>
        <w:rPr>
          <w:rFonts w:ascii="Arial" w:hAnsi="Arial" w:cs="Arial"/>
          <w:sz w:val="28"/>
          <w:szCs w:val="28"/>
        </w:rPr>
      </w:pPr>
    </w:p>
    <w:p w14:paraId="403209F2" w14:textId="77777777" w:rsidR="0037033E" w:rsidRPr="0037033E" w:rsidRDefault="0037033E" w:rsidP="0037033E">
      <w:pPr>
        <w:jc w:val="both"/>
        <w:rPr>
          <w:rFonts w:ascii="Arial" w:hAnsi="Arial" w:cs="Arial"/>
          <w:sz w:val="28"/>
          <w:szCs w:val="28"/>
        </w:rPr>
      </w:pPr>
      <w:r w:rsidRPr="0037033E">
        <w:rPr>
          <w:rFonts w:ascii="Arial" w:hAnsi="Arial" w:cs="Arial"/>
          <w:sz w:val="28"/>
          <w:szCs w:val="28"/>
        </w:rPr>
        <w:t>A pesar de no contar con un presupuesto aprobado por el Congreso y operar bajo un esquema de reconducción presupuestal, la entidad consolida su autonomía fiscal, así como un manejo responsable de la deuda, la cual, de acuerdo con los parámetros de medición de la Secretaría de Hacienda y Crédito Público, se mantiene en verde.</w:t>
      </w:r>
    </w:p>
    <w:p w14:paraId="0A7F9586" w14:textId="77777777" w:rsidR="0037033E" w:rsidRDefault="0037033E" w:rsidP="0037033E">
      <w:pPr>
        <w:jc w:val="both"/>
        <w:rPr>
          <w:rFonts w:ascii="Arial" w:hAnsi="Arial" w:cs="Arial"/>
          <w:sz w:val="28"/>
          <w:szCs w:val="28"/>
        </w:rPr>
      </w:pPr>
    </w:p>
    <w:p w14:paraId="5AB460A7" w14:textId="77777777" w:rsidR="0037033E" w:rsidRPr="0037033E" w:rsidRDefault="0037033E" w:rsidP="0037033E">
      <w:pPr>
        <w:jc w:val="both"/>
        <w:rPr>
          <w:rFonts w:ascii="Arial" w:hAnsi="Arial" w:cs="Arial"/>
          <w:sz w:val="28"/>
          <w:szCs w:val="28"/>
        </w:rPr>
      </w:pPr>
      <w:r w:rsidRPr="0037033E">
        <w:rPr>
          <w:rFonts w:ascii="Arial" w:hAnsi="Arial" w:cs="Arial"/>
          <w:sz w:val="28"/>
          <w:szCs w:val="28"/>
        </w:rPr>
        <w:t xml:space="preserve">Esto refleja que la entidad cuenta con los recursos para cubrir el pago del servicio de deuda y sus compromisos financieros sin que esto merme la prestación de servicios. </w:t>
      </w:r>
    </w:p>
    <w:p w14:paraId="5B97DFCA" w14:textId="77777777" w:rsidR="0037033E" w:rsidRDefault="0037033E" w:rsidP="0037033E">
      <w:pPr>
        <w:jc w:val="both"/>
        <w:rPr>
          <w:rFonts w:ascii="Arial" w:hAnsi="Arial" w:cs="Arial"/>
          <w:sz w:val="28"/>
          <w:szCs w:val="28"/>
        </w:rPr>
      </w:pPr>
    </w:p>
    <w:p w14:paraId="54ECDB68" w14:textId="77777777" w:rsidR="0037033E" w:rsidRPr="0037033E" w:rsidRDefault="0037033E" w:rsidP="0037033E">
      <w:pPr>
        <w:jc w:val="both"/>
        <w:rPr>
          <w:rFonts w:ascii="Arial" w:hAnsi="Arial" w:cs="Arial"/>
          <w:sz w:val="28"/>
          <w:szCs w:val="28"/>
        </w:rPr>
      </w:pPr>
      <w:r w:rsidRPr="0037033E">
        <w:rPr>
          <w:rFonts w:ascii="Arial" w:hAnsi="Arial" w:cs="Arial"/>
          <w:sz w:val="28"/>
          <w:szCs w:val="28"/>
        </w:rPr>
        <w:t>Sin un aumento en las tasas impositivas, el Estado fortaleció sus recursos propios y prueba de ello es que Nuevo León se encuentra en el top 5 de las entidades con mayor participación de ingresos por impuestos.</w:t>
      </w:r>
    </w:p>
    <w:p w14:paraId="6C71255E" w14:textId="77777777" w:rsidR="0037033E" w:rsidRDefault="0037033E" w:rsidP="0037033E">
      <w:pPr>
        <w:jc w:val="both"/>
        <w:rPr>
          <w:rFonts w:ascii="Arial" w:hAnsi="Arial" w:cs="Arial"/>
          <w:sz w:val="28"/>
          <w:szCs w:val="28"/>
        </w:rPr>
      </w:pPr>
    </w:p>
    <w:p w14:paraId="1DA9FE79" w14:textId="77777777" w:rsidR="0037033E" w:rsidRPr="0037033E" w:rsidRDefault="0037033E" w:rsidP="0037033E">
      <w:pPr>
        <w:jc w:val="both"/>
        <w:rPr>
          <w:rFonts w:ascii="Arial" w:hAnsi="Arial" w:cs="Arial"/>
          <w:sz w:val="28"/>
          <w:szCs w:val="28"/>
        </w:rPr>
      </w:pPr>
      <w:r w:rsidRPr="0037033E">
        <w:rPr>
          <w:rFonts w:ascii="Arial" w:hAnsi="Arial" w:cs="Arial"/>
          <w:sz w:val="28"/>
          <w:szCs w:val="28"/>
        </w:rPr>
        <w:t xml:space="preserve">Mientras que el promedio nacional es de 16.4 por ciento, Nuevo León alcanzó un 26.7 por ciento en la proporción de ingresos tributarios frente a participaciones federales. </w:t>
      </w:r>
    </w:p>
    <w:p w14:paraId="4BB370F2" w14:textId="77777777" w:rsidR="0037033E" w:rsidRDefault="0037033E" w:rsidP="0037033E">
      <w:pPr>
        <w:jc w:val="both"/>
        <w:rPr>
          <w:rFonts w:ascii="Arial" w:hAnsi="Arial" w:cs="Arial"/>
          <w:sz w:val="28"/>
          <w:szCs w:val="28"/>
        </w:rPr>
      </w:pPr>
    </w:p>
    <w:p w14:paraId="1D942BB2" w14:textId="77777777" w:rsidR="0037033E" w:rsidRPr="0037033E" w:rsidRDefault="0037033E" w:rsidP="0037033E">
      <w:pPr>
        <w:jc w:val="both"/>
        <w:rPr>
          <w:rFonts w:ascii="Arial" w:hAnsi="Arial" w:cs="Arial"/>
          <w:sz w:val="28"/>
          <w:szCs w:val="28"/>
        </w:rPr>
      </w:pPr>
      <w:r w:rsidRPr="0037033E">
        <w:rPr>
          <w:rFonts w:ascii="Arial" w:hAnsi="Arial" w:cs="Arial"/>
          <w:sz w:val="28"/>
          <w:szCs w:val="28"/>
        </w:rPr>
        <w:t xml:space="preserve">Nuevo León también destaca por su aportación a la recaudación federal. En 2025, la entidad ocupó el segundo lugar en recaudación </w:t>
      </w:r>
      <w:r w:rsidRPr="0037033E">
        <w:rPr>
          <w:rFonts w:ascii="Arial" w:hAnsi="Arial" w:cs="Arial"/>
          <w:sz w:val="28"/>
          <w:szCs w:val="28"/>
        </w:rPr>
        <w:lastRenderedPageBreak/>
        <w:t>fiscal neta de impuestos federales por entidad federativa, de acuerdo con información del SAT, solo por debajo de la Ciudad de México.</w:t>
      </w:r>
    </w:p>
    <w:p w14:paraId="3E00E009" w14:textId="77777777" w:rsidR="0037033E" w:rsidRDefault="0037033E" w:rsidP="0037033E">
      <w:pPr>
        <w:jc w:val="both"/>
        <w:rPr>
          <w:rFonts w:ascii="Arial" w:hAnsi="Arial" w:cs="Arial"/>
          <w:sz w:val="28"/>
          <w:szCs w:val="28"/>
        </w:rPr>
      </w:pPr>
    </w:p>
    <w:p w14:paraId="585D06EE" w14:textId="77777777" w:rsidR="0037033E" w:rsidRPr="0037033E" w:rsidRDefault="0037033E" w:rsidP="0037033E">
      <w:pPr>
        <w:jc w:val="both"/>
        <w:rPr>
          <w:rFonts w:ascii="Arial" w:hAnsi="Arial" w:cs="Arial"/>
          <w:sz w:val="28"/>
          <w:szCs w:val="28"/>
        </w:rPr>
      </w:pPr>
      <w:r w:rsidRPr="0037033E">
        <w:rPr>
          <w:rFonts w:ascii="Arial" w:hAnsi="Arial" w:cs="Arial"/>
          <w:sz w:val="28"/>
          <w:szCs w:val="28"/>
        </w:rPr>
        <w:t xml:space="preserve">Durante la presente administración, el Gobierno del Estado impulsó una estrategia para fortalecer la recaudación estatal y ampliar la capacidad financiera de la entidad. </w:t>
      </w:r>
    </w:p>
    <w:p w14:paraId="03DFCC4E" w14:textId="77777777" w:rsidR="0037033E" w:rsidRPr="0037033E" w:rsidRDefault="0037033E" w:rsidP="0037033E">
      <w:pPr>
        <w:jc w:val="both"/>
        <w:rPr>
          <w:rFonts w:ascii="Arial" w:hAnsi="Arial" w:cs="Arial"/>
          <w:sz w:val="28"/>
          <w:szCs w:val="28"/>
        </w:rPr>
      </w:pPr>
    </w:p>
    <w:p w14:paraId="3BAD78C5" w14:textId="77777777" w:rsidR="0037033E" w:rsidRPr="0037033E" w:rsidRDefault="0037033E" w:rsidP="0037033E">
      <w:pPr>
        <w:jc w:val="both"/>
        <w:rPr>
          <w:rFonts w:ascii="Arial" w:hAnsi="Arial" w:cs="Arial"/>
          <w:sz w:val="28"/>
          <w:szCs w:val="28"/>
        </w:rPr>
      </w:pPr>
      <w:r w:rsidRPr="0037033E">
        <w:rPr>
          <w:rFonts w:ascii="Arial" w:hAnsi="Arial" w:cs="Arial"/>
          <w:sz w:val="28"/>
          <w:szCs w:val="28"/>
        </w:rPr>
        <w:t xml:space="preserve">Como resultado, se estima que al cierre de 2026 los ingresos propios asciendan a </w:t>
      </w:r>
      <w:proofErr w:type="gramStart"/>
      <w:r w:rsidRPr="0037033E">
        <w:rPr>
          <w:rFonts w:ascii="Arial" w:hAnsi="Arial" w:cs="Arial"/>
          <w:sz w:val="28"/>
          <w:szCs w:val="28"/>
        </w:rPr>
        <w:t>40  mil</w:t>
      </w:r>
      <w:proofErr w:type="gramEnd"/>
      <w:r w:rsidRPr="0037033E">
        <w:rPr>
          <w:rFonts w:ascii="Arial" w:hAnsi="Arial" w:cs="Arial"/>
          <w:sz w:val="28"/>
          <w:szCs w:val="28"/>
        </w:rPr>
        <w:t xml:space="preserve"> 536 millones de pesos, monto superior en 87% al registrado en 2021.</w:t>
      </w:r>
    </w:p>
    <w:p w14:paraId="429F973B" w14:textId="77777777" w:rsidR="0037033E" w:rsidRDefault="0037033E" w:rsidP="0037033E">
      <w:pPr>
        <w:jc w:val="both"/>
        <w:rPr>
          <w:rFonts w:ascii="Arial" w:hAnsi="Arial" w:cs="Arial"/>
          <w:sz w:val="28"/>
          <w:szCs w:val="28"/>
        </w:rPr>
      </w:pPr>
    </w:p>
    <w:p w14:paraId="08FEEC65" w14:textId="77777777" w:rsidR="0037033E" w:rsidRPr="0037033E" w:rsidRDefault="0037033E" w:rsidP="0037033E">
      <w:pPr>
        <w:jc w:val="both"/>
        <w:rPr>
          <w:rFonts w:ascii="Arial" w:hAnsi="Arial" w:cs="Arial"/>
          <w:sz w:val="28"/>
          <w:szCs w:val="28"/>
        </w:rPr>
      </w:pPr>
      <w:r w:rsidRPr="0037033E">
        <w:rPr>
          <w:rFonts w:ascii="Arial" w:hAnsi="Arial" w:cs="Arial"/>
          <w:sz w:val="28"/>
          <w:szCs w:val="28"/>
        </w:rPr>
        <w:t>Al llegar al quinto año de gobierno es importante destacar que la disciplina financiera permitió orientar los recursos a inversiones en materia de seguridad y salud, principalmente.</w:t>
      </w:r>
    </w:p>
    <w:p w14:paraId="7F7983BA" w14:textId="77777777" w:rsidR="0037033E" w:rsidRDefault="0037033E" w:rsidP="0037033E">
      <w:pPr>
        <w:jc w:val="both"/>
        <w:rPr>
          <w:rFonts w:ascii="Arial" w:hAnsi="Arial" w:cs="Arial"/>
          <w:sz w:val="28"/>
          <w:szCs w:val="28"/>
        </w:rPr>
      </w:pPr>
    </w:p>
    <w:p w14:paraId="36BF9577" w14:textId="77777777" w:rsidR="0037033E" w:rsidRPr="0037033E" w:rsidRDefault="0037033E" w:rsidP="0037033E">
      <w:pPr>
        <w:jc w:val="both"/>
        <w:rPr>
          <w:rFonts w:ascii="Arial" w:hAnsi="Arial" w:cs="Arial"/>
          <w:sz w:val="28"/>
          <w:szCs w:val="28"/>
        </w:rPr>
      </w:pPr>
      <w:r w:rsidRPr="0037033E">
        <w:rPr>
          <w:rFonts w:ascii="Arial" w:hAnsi="Arial" w:cs="Arial"/>
          <w:sz w:val="28"/>
          <w:szCs w:val="28"/>
        </w:rPr>
        <w:t>Mientras que en seguridad, el presupuesto pasó de 11 mil 779 millones de pesos, en el 2021 a 20 mil 948 millones de pesos este año; en salud, la inversión creció de 2 mil 610 millones de pesos a 3 mil 807 millones de pesos, garantizando mayor cobertura e infraestructura médica.</w:t>
      </w:r>
    </w:p>
    <w:p w14:paraId="73BF79D8" w14:textId="77777777" w:rsidR="0037033E" w:rsidRDefault="0037033E" w:rsidP="0037033E">
      <w:pPr>
        <w:jc w:val="both"/>
        <w:rPr>
          <w:rFonts w:ascii="Arial" w:hAnsi="Arial" w:cs="Arial"/>
          <w:sz w:val="28"/>
          <w:szCs w:val="28"/>
        </w:rPr>
      </w:pPr>
    </w:p>
    <w:p w14:paraId="6ED5C79A" w14:textId="77777777" w:rsidR="0037033E" w:rsidRPr="0037033E" w:rsidRDefault="0037033E" w:rsidP="0037033E">
      <w:pPr>
        <w:jc w:val="both"/>
        <w:rPr>
          <w:rFonts w:ascii="Arial" w:hAnsi="Arial" w:cs="Arial"/>
          <w:sz w:val="28"/>
          <w:szCs w:val="28"/>
        </w:rPr>
      </w:pPr>
      <w:r w:rsidRPr="0037033E">
        <w:rPr>
          <w:rFonts w:ascii="Arial" w:hAnsi="Arial" w:cs="Arial"/>
          <w:sz w:val="28"/>
          <w:szCs w:val="28"/>
        </w:rPr>
        <w:t>Durante el último año, la Auditoría Superior de la Federación (ASF) concluyó con cero observaciones e irregularidades en una revisión al 100 por ciento de las participaciones transferidas por el Gobierno del Estado a los municipios, lo que confirma una gestión financiera exacta y transparente.</w:t>
      </w:r>
    </w:p>
    <w:p w14:paraId="13B2364D" w14:textId="77777777" w:rsidR="0037033E" w:rsidRDefault="0037033E" w:rsidP="0037033E">
      <w:pPr>
        <w:jc w:val="both"/>
        <w:rPr>
          <w:rFonts w:ascii="Arial" w:hAnsi="Arial" w:cs="Arial"/>
          <w:sz w:val="28"/>
          <w:szCs w:val="28"/>
        </w:rPr>
      </w:pPr>
    </w:p>
    <w:p w14:paraId="1A5742D4" w14:textId="77777777" w:rsidR="0037033E" w:rsidRPr="0037033E" w:rsidRDefault="0037033E" w:rsidP="0037033E">
      <w:pPr>
        <w:jc w:val="both"/>
        <w:rPr>
          <w:rFonts w:ascii="Arial" w:hAnsi="Arial" w:cs="Arial"/>
          <w:sz w:val="28"/>
          <w:szCs w:val="28"/>
        </w:rPr>
      </w:pPr>
      <w:r w:rsidRPr="0037033E">
        <w:rPr>
          <w:rFonts w:ascii="Arial" w:hAnsi="Arial" w:cs="Arial"/>
          <w:sz w:val="28"/>
          <w:szCs w:val="28"/>
        </w:rPr>
        <w:t>Además, en los resultados del Índice de Calidad en la Información (ICI) del segundo trimestre y que publica la Secretaría de Hacienda, Nuevo León escaló en el ranking nacional con un puntaje de 98.73, superando ampliamente el promedio nacional de 83.75.</w:t>
      </w:r>
    </w:p>
    <w:p w14:paraId="36D9F1EE" w14:textId="77777777" w:rsidR="0037033E" w:rsidRDefault="0037033E" w:rsidP="0037033E">
      <w:pPr>
        <w:jc w:val="both"/>
        <w:rPr>
          <w:rFonts w:ascii="Arial" w:hAnsi="Arial" w:cs="Arial"/>
          <w:sz w:val="28"/>
          <w:szCs w:val="28"/>
        </w:rPr>
      </w:pPr>
    </w:p>
    <w:p w14:paraId="4B70D62F" w14:textId="20AB7770" w:rsidR="00061431" w:rsidRDefault="0037033E" w:rsidP="0037033E">
      <w:pPr>
        <w:jc w:val="both"/>
        <w:rPr>
          <w:rFonts w:ascii="Arial" w:hAnsi="Arial" w:cs="Arial"/>
          <w:sz w:val="28"/>
          <w:szCs w:val="28"/>
        </w:rPr>
      </w:pPr>
      <w:r w:rsidRPr="0037033E">
        <w:rPr>
          <w:rFonts w:ascii="Arial" w:hAnsi="Arial" w:cs="Arial"/>
          <w:sz w:val="28"/>
          <w:szCs w:val="28"/>
        </w:rPr>
        <w:t xml:space="preserve">En un contexto de retos a nivel nacional, en los primeros nueve meses de este año, el Estado entregó 20 mil 897 millones 971 mil 128 pesos </w:t>
      </w:r>
      <w:r w:rsidRPr="0037033E">
        <w:rPr>
          <w:rFonts w:ascii="Arial" w:hAnsi="Arial" w:cs="Arial"/>
          <w:sz w:val="28"/>
          <w:szCs w:val="28"/>
        </w:rPr>
        <w:lastRenderedPageBreak/>
        <w:t>de Participaciones y Aportaciones Federales y Estatales a los Municipios, un 4.5 por ciento más que lo distribuido durante el mismo periodo del año pasado.</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033E"/>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3412A7-7F95-49B7-8EDA-8F4E47DD1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476</Words>
  <Characters>2621</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2</cp:revision>
  <cp:lastPrinted>2016-10-21T20:06:00Z</cp:lastPrinted>
  <dcterms:created xsi:type="dcterms:W3CDTF">2026-10-12T20:14:00Z</dcterms:created>
  <dcterms:modified xsi:type="dcterms:W3CDTF">2026-10-12T20:14:00Z</dcterms:modified>
</cp:coreProperties>
</file>