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9EA56B4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FA5C3F">
        <w:rPr>
          <w:rFonts w:ascii="Arial" w:hAnsi="Arial" w:cs="Arial"/>
          <w:b/>
          <w:sz w:val="22"/>
          <w:lang w:val="es-ES"/>
        </w:rPr>
        <w:t>0326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21296D2F" w:rsidR="00703B09" w:rsidRDefault="00FA5C3F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27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117F23">
        <w:rPr>
          <w:rFonts w:ascii="Arial" w:hAnsi="Arial" w:cs="Arial"/>
          <w:sz w:val="22"/>
          <w:lang w:val="es-ES"/>
        </w:rPr>
        <w:t>febrero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57E44B62" w14:textId="00FF40C9" w:rsidR="00B014F7" w:rsidRDefault="00FA5C3F" w:rsidP="00B014F7">
      <w:pPr>
        <w:jc w:val="center"/>
        <w:rPr>
          <w:rFonts w:ascii="Arial" w:hAnsi="Arial" w:cs="Arial"/>
          <w:b/>
          <w:sz w:val="28"/>
          <w:szCs w:val="28"/>
        </w:rPr>
      </w:pPr>
      <w:r w:rsidRPr="00FA5C3F">
        <w:rPr>
          <w:rFonts w:ascii="Arial" w:hAnsi="Arial" w:cs="Arial"/>
          <w:b/>
          <w:sz w:val="28"/>
          <w:szCs w:val="28"/>
        </w:rPr>
        <w:t>RATIFICA SHCP SOLVENCIA FINANCIERA CON CALIFICACIÓN DE ENDEUDAMIENTO SOSTENIBLE A NL</w:t>
      </w:r>
    </w:p>
    <w:p w14:paraId="5B650FDF" w14:textId="77777777" w:rsidR="00FA5C3F" w:rsidRPr="00221F80" w:rsidRDefault="00FA5C3F" w:rsidP="00B014F7">
      <w:pPr>
        <w:jc w:val="center"/>
        <w:rPr>
          <w:rFonts w:ascii="Arial" w:hAnsi="Arial" w:cs="Arial"/>
          <w:b/>
          <w:sz w:val="22"/>
          <w:szCs w:val="22"/>
        </w:rPr>
      </w:pPr>
    </w:p>
    <w:p w14:paraId="1069432D" w14:textId="2263F8F4" w:rsidR="004604C6" w:rsidRPr="00562365" w:rsidRDefault="00FA5C3F" w:rsidP="00B014F7">
      <w:pPr>
        <w:pStyle w:val="Prrafodelista"/>
        <w:numPr>
          <w:ilvl w:val="0"/>
          <w:numId w:val="25"/>
        </w:numPr>
        <w:rPr>
          <w:rFonts w:ascii="Arial" w:hAnsi="Arial" w:cs="Arial"/>
          <w:i/>
        </w:rPr>
      </w:pPr>
      <w:bookmarkStart w:id="0" w:name="_GoBack"/>
      <w:r>
        <w:rPr>
          <w:rFonts w:ascii="Arial" w:hAnsi="Arial" w:cs="Arial"/>
          <w:i/>
        </w:rPr>
        <w:t xml:space="preserve">Esta calificación es resultado de una gestión responsable de los recursos públicos y el cumplimiento estricto de la Ley de Disciplina Financiera. </w:t>
      </w:r>
    </w:p>
    <w:p w14:paraId="51A7C7CB" w14:textId="3C88F9C2" w:rsidR="00562365" w:rsidRDefault="00FA5C3F" w:rsidP="00562365">
      <w:pPr>
        <w:pStyle w:val="Prrafodelista"/>
        <w:numPr>
          <w:ilvl w:val="0"/>
          <w:numId w:val="25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NL aparece en verde en el reporte del cuarto trimestre del semáforo del Sistema de Alertas de la dependencia federal. </w:t>
      </w:r>
    </w:p>
    <w:p w14:paraId="603A715C" w14:textId="77777777" w:rsidR="00562365" w:rsidRPr="00562365" w:rsidRDefault="00562365" w:rsidP="00562365">
      <w:pPr>
        <w:ind w:left="720"/>
        <w:rPr>
          <w:rFonts w:ascii="Arial" w:hAnsi="Arial" w:cs="Arial"/>
          <w:i/>
        </w:rPr>
      </w:pPr>
    </w:p>
    <w:p w14:paraId="2FD45E2E" w14:textId="40BCA1DF" w:rsidR="00FA5C3F" w:rsidRDefault="00EA29FA" w:rsidP="00FA5C3F">
      <w:pPr>
        <w:jc w:val="both"/>
        <w:rPr>
          <w:rFonts w:ascii="Arial" w:hAnsi="Arial" w:cs="Arial"/>
          <w:sz w:val="28"/>
          <w:szCs w:val="28"/>
        </w:rPr>
      </w:pPr>
      <w:r w:rsidRPr="001423EB">
        <w:rPr>
          <w:rFonts w:ascii="Arial" w:hAnsi="Arial" w:cs="Arial"/>
          <w:b/>
          <w:sz w:val="28"/>
          <w:szCs w:val="28"/>
        </w:rPr>
        <w:t>Monterrey, Nuevo León.-</w:t>
      </w:r>
      <w:r w:rsidR="00562365">
        <w:rPr>
          <w:rFonts w:ascii="Arial" w:hAnsi="Arial" w:cs="Arial"/>
          <w:b/>
          <w:sz w:val="28"/>
          <w:szCs w:val="28"/>
        </w:rPr>
        <w:t xml:space="preserve"> </w:t>
      </w:r>
      <w:r w:rsidR="00FA5C3F" w:rsidRPr="00FA5C3F">
        <w:rPr>
          <w:rFonts w:ascii="Arial" w:hAnsi="Arial" w:cs="Arial"/>
          <w:sz w:val="28"/>
          <w:szCs w:val="28"/>
        </w:rPr>
        <w:t xml:space="preserve">La Secretaría de Hacienda y Crédito Público (SHCP) ratificó la solvencia de Nuevo León al otorgar una calificación de Endeudamiento Sostenible. </w:t>
      </w:r>
    </w:p>
    <w:p w14:paraId="1F9AAF59" w14:textId="77777777" w:rsidR="00FA5C3F" w:rsidRPr="00FA5C3F" w:rsidRDefault="00FA5C3F" w:rsidP="00FA5C3F">
      <w:pPr>
        <w:jc w:val="both"/>
        <w:rPr>
          <w:rFonts w:ascii="Arial" w:hAnsi="Arial" w:cs="Arial"/>
          <w:sz w:val="28"/>
          <w:szCs w:val="28"/>
        </w:rPr>
      </w:pPr>
    </w:p>
    <w:p w14:paraId="012DE4EE" w14:textId="77777777" w:rsidR="00FA5C3F" w:rsidRDefault="00FA5C3F" w:rsidP="00FA5C3F">
      <w:pPr>
        <w:jc w:val="both"/>
        <w:rPr>
          <w:rFonts w:ascii="Arial" w:hAnsi="Arial" w:cs="Arial"/>
          <w:sz w:val="28"/>
          <w:szCs w:val="28"/>
        </w:rPr>
      </w:pPr>
      <w:r w:rsidRPr="00FA5C3F">
        <w:rPr>
          <w:rFonts w:ascii="Arial" w:hAnsi="Arial" w:cs="Arial"/>
          <w:sz w:val="28"/>
          <w:szCs w:val="28"/>
        </w:rPr>
        <w:t>Este resultado es producto de una gestión responsable de los recursos públicos y el cumplimiento estricto de la Ley de Disciplina Financiera, informó la Secretaría de Finanzas y Tesorería General del Estado.</w:t>
      </w:r>
    </w:p>
    <w:p w14:paraId="0C4599D0" w14:textId="77777777" w:rsidR="00FA5C3F" w:rsidRPr="00FA5C3F" w:rsidRDefault="00FA5C3F" w:rsidP="00FA5C3F">
      <w:pPr>
        <w:jc w:val="both"/>
        <w:rPr>
          <w:rFonts w:ascii="Arial" w:hAnsi="Arial" w:cs="Arial"/>
          <w:sz w:val="28"/>
          <w:szCs w:val="28"/>
        </w:rPr>
      </w:pPr>
    </w:p>
    <w:p w14:paraId="58B4263F" w14:textId="77777777" w:rsidR="00FA5C3F" w:rsidRDefault="00FA5C3F" w:rsidP="00FA5C3F">
      <w:pPr>
        <w:jc w:val="both"/>
        <w:rPr>
          <w:rFonts w:ascii="Arial" w:hAnsi="Arial" w:cs="Arial"/>
          <w:sz w:val="28"/>
          <w:szCs w:val="28"/>
        </w:rPr>
      </w:pPr>
      <w:r w:rsidRPr="00FA5C3F">
        <w:rPr>
          <w:rFonts w:ascii="Arial" w:hAnsi="Arial" w:cs="Arial"/>
          <w:sz w:val="28"/>
          <w:szCs w:val="28"/>
        </w:rPr>
        <w:t>En el reporte del cuarto trimestre del semáforo del Sistema de Alertas de la dependencia federal, Nuevo León aparece en verde.</w:t>
      </w:r>
    </w:p>
    <w:p w14:paraId="652A880B" w14:textId="77777777" w:rsidR="00FA5C3F" w:rsidRPr="00FA5C3F" w:rsidRDefault="00FA5C3F" w:rsidP="00FA5C3F">
      <w:pPr>
        <w:jc w:val="both"/>
        <w:rPr>
          <w:rFonts w:ascii="Arial" w:hAnsi="Arial" w:cs="Arial"/>
          <w:sz w:val="28"/>
          <w:szCs w:val="28"/>
        </w:rPr>
      </w:pPr>
    </w:p>
    <w:p w14:paraId="122C2A0A" w14:textId="77777777" w:rsidR="00FA5C3F" w:rsidRDefault="00FA5C3F" w:rsidP="00FA5C3F">
      <w:pPr>
        <w:jc w:val="both"/>
        <w:rPr>
          <w:rFonts w:ascii="Arial" w:hAnsi="Arial" w:cs="Arial"/>
          <w:sz w:val="28"/>
          <w:szCs w:val="28"/>
        </w:rPr>
      </w:pPr>
      <w:r w:rsidRPr="00FA5C3F">
        <w:rPr>
          <w:rFonts w:ascii="Arial" w:hAnsi="Arial" w:cs="Arial"/>
          <w:sz w:val="28"/>
          <w:szCs w:val="28"/>
        </w:rPr>
        <w:t>Esto refleja que la deuda pública se mantiene en los niveles más óptimos, reflejando una capacidad de pago sólida frente a los ingresos locales.</w:t>
      </w:r>
    </w:p>
    <w:p w14:paraId="2BB1F2C7" w14:textId="77777777" w:rsidR="00FA5C3F" w:rsidRPr="00FA5C3F" w:rsidRDefault="00FA5C3F" w:rsidP="00FA5C3F">
      <w:pPr>
        <w:jc w:val="both"/>
        <w:rPr>
          <w:rFonts w:ascii="Arial" w:hAnsi="Arial" w:cs="Arial"/>
          <w:sz w:val="28"/>
          <w:szCs w:val="28"/>
        </w:rPr>
      </w:pPr>
    </w:p>
    <w:p w14:paraId="5F6FDCBD" w14:textId="435576D5" w:rsidR="001423EB" w:rsidRPr="001423EB" w:rsidRDefault="00FA5C3F" w:rsidP="00FA5C3F">
      <w:pPr>
        <w:jc w:val="both"/>
        <w:rPr>
          <w:rFonts w:ascii="Arial" w:hAnsi="Arial" w:cs="Arial"/>
          <w:sz w:val="28"/>
          <w:szCs w:val="28"/>
        </w:rPr>
      </w:pPr>
      <w:r w:rsidRPr="00FA5C3F">
        <w:rPr>
          <w:rFonts w:ascii="Arial" w:hAnsi="Arial" w:cs="Arial"/>
          <w:sz w:val="28"/>
          <w:szCs w:val="28"/>
        </w:rPr>
        <w:t>Las Obligaciones a corto plazo y proveedores también están bajo este color, lo que representa un cumplimiento puntual con contratistas y prestadores de servicios.</w:t>
      </w:r>
    </w:p>
    <w:bookmarkEnd w:id="0"/>
    <w:p w14:paraId="3769F719" w14:textId="68D45BE2" w:rsidR="001423EB" w:rsidRPr="00EA29FA" w:rsidRDefault="001423EB" w:rsidP="00394AB5">
      <w:pPr>
        <w:jc w:val="both"/>
        <w:rPr>
          <w:rFonts w:ascii="Arial" w:hAnsi="Arial" w:cs="Arial"/>
          <w:bCs/>
          <w:color w:val="323E4F"/>
        </w:rPr>
      </w:pPr>
    </w:p>
    <w:sectPr w:rsidR="001423EB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53B896" w14:textId="77777777" w:rsidR="00927BCB" w:rsidRDefault="00927BCB" w:rsidP="00E83348">
      <w:r>
        <w:separator/>
      </w:r>
    </w:p>
  </w:endnote>
  <w:endnote w:type="continuationSeparator" w:id="0">
    <w:p w14:paraId="38E3E29B" w14:textId="77777777" w:rsidR="00927BCB" w:rsidRDefault="00927BC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C57ADD" w14:textId="77777777" w:rsidR="00927BCB" w:rsidRDefault="00927BCB" w:rsidP="00E83348">
      <w:r>
        <w:separator/>
      </w:r>
    </w:p>
  </w:footnote>
  <w:footnote w:type="continuationSeparator" w:id="0">
    <w:p w14:paraId="65D54FB4" w14:textId="77777777" w:rsidR="00927BCB" w:rsidRDefault="00927BC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70D06"/>
    <w:multiLevelType w:val="hybridMultilevel"/>
    <w:tmpl w:val="84F883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917C5A"/>
    <w:multiLevelType w:val="hybridMultilevel"/>
    <w:tmpl w:val="C83096A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D201AA"/>
    <w:multiLevelType w:val="hybridMultilevel"/>
    <w:tmpl w:val="C27816D6"/>
    <w:lvl w:ilvl="0" w:tplc="7CC65D72">
      <w:start w:val="1"/>
      <w:numFmt w:val="decimal"/>
      <w:lvlText w:val="%1."/>
      <w:lvlJc w:val="left"/>
      <w:pPr>
        <w:ind w:left="714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9"/>
  </w:num>
  <w:num w:numId="4">
    <w:abstractNumId w:val="5"/>
  </w:num>
  <w:num w:numId="5">
    <w:abstractNumId w:val="10"/>
  </w:num>
  <w:num w:numId="6">
    <w:abstractNumId w:val="22"/>
  </w:num>
  <w:num w:numId="7">
    <w:abstractNumId w:val="13"/>
  </w:num>
  <w:num w:numId="8">
    <w:abstractNumId w:val="16"/>
  </w:num>
  <w:num w:numId="9">
    <w:abstractNumId w:val="19"/>
  </w:num>
  <w:num w:numId="10">
    <w:abstractNumId w:val="8"/>
  </w:num>
  <w:num w:numId="11">
    <w:abstractNumId w:val="12"/>
  </w:num>
  <w:num w:numId="12">
    <w:abstractNumId w:val="0"/>
  </w:num>
  <w:num w:numId="13">
    <w:abstractNumId w:val="11"/>
  </w:num>
  <w:num w:numId="14">
    <w:abstractNumId w:val="21"/>
  </w:num>
  <w:num w:numId="15">
    <w:abstractNumId w:val="20"/>
  </w:num>
  <w:num w:numId="16">
    <w:abstractNumId w:val="23"/>
  </w:num>
  <w:num w:numId="17">
    <w:abstractNumId w:val="7"/>
  </w:num>
  <w:num w:numId="18">
    <w:abstractNumId w:val="15"/>
  </w:num>
  <w:num w:numId="19">
    <w:abstractNumId w:val="1"/>
  </w:num>
  <w:num w:numId="20">
    <w:abstractNumId w:val="14"/>
  </w:num>
  <w:num w:numId="21">
    <w:abstractNumId w:val="24"/>
  </w:num>
  <w:num w:numId="22">
    <w:abstractNumId w:val="2"/>
  </w:num>
  <w:num w:numId="23">
    <w:abstractNumId w:val="17"/>
  </w:num>
  <w:num w:numId="24">
    <w:abstractNumId w:val="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5BE8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17F23"/>
    <w:rsid w:val="0013386D"/>
    <w:rsid w:val="00136A02"/>
    <w:rsid w:val="001423EB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66632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335C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C7021"/>
    <w:rsid w:val="003E3485"/>
    <w:rsid w:val="003F11AF"/>
    <w:rsid w:val="003F50E0"/>
    <w:rsid w:val="003F6D38"/>
    <w:rsid w:val="004166C3"/>
    <w:rsid w:val="0042555F"/>
    <w:rsid w:val="00443F14"/>
    <w:rsid w:val="004604C6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18C6"/>
    <w:rsid w:val="00545740"/>
    <w:rsid w:val="00561A6A"/>
    <w:rsid w:val="00562365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C4D78"/>
    <w:rsid w:val="005D5D21"/>
    <w:rsid w:val="005E0077"/>
    <w:rsid w:val="006152C6"/>
    <w:rsid w:val="00617131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A10D2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27BCB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9D019D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1F12"/>
    <w:rsid w:val="00A92247"/>
    <w:rsid w:val="00AA6D55"/>
    <w:rsid w:val="00AC3EBD"/>
    <w:rsid w:val="00AD06C4"/>
    <w:rsid w:val="00AD2534"/>
    <w:rsid w:val="00AF03DD"/>
    <w:rsid w:val="00AF17C5"/>
    <w:rsid w:val="00AF3636"/>
    <w:rsid w:val="00AF6875"/>
    <w:rsid w:val="00B01173"/>
    <w:rsid w:val="00B014F7"/>
    <w:rsid w:val="00B06482"/>
    <w:rsid w:val="00B06B1B"/>
    <w:rsid w:val="00B0766E"/>
    <w:rsid w:val="00B16564"/>
    <w:rsid w:val="00B16EC6"/>
    <w:rsid w:val="00B20134"/>
    <w:rsid w:val="00B4275A"/>
    <w:rsid w:val="00B45705"/>
    <w:rsid w:val="00B67933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16CEF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65667"/>
    <w:rsid w:val="00F7066A"/>
    <w:rsid w:val="00F70DFF"/>
    <w:rsid w:val="00F736FB"/>
    <w:rsid w:val="00F75DE7"/>
    <w:rsid w:val="00F7608B"/>
    <w:rsid w:val="00F82682"/>
    <w:rsid w:val="00F97C2A"/>
    <w:rsid w:val="00FA078D"/>
    <w:rsid w:val="00FA13EB"/>
    <w:rsid w:val="00FA5C3F"/>
    <w:rsid w:val="00FB2045"/>
    <w:rsid w:val="00FC06A1"/>
    <w:rsid w:val="00FC4CEF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cljk6b">
    <w:name w:val="cljk6b"/>
    <w:basedOn w:val="Fuentedeprrafopredeter"/>
    <w:rsid w:val="003C7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4E039F-AD59-4697-8BF9-1B9849197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2026-02-27T22:44:00Z</dcterms:created>
  <dcterms:modified xsi:type="dcterms:W3CDTF">2026-02-27T22:44:00Z</dcterms:modified>
</cp:coreProperties>
</file>