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DED468E" w:rsidR="00EA29FA" w:rsidRPr="00C60FD1" w:rsidRDefault="00332EFF" w:rsidP="00F7608B">
      <w:pPr>
        <w:jc w:val="right"/>
        <w:rPr>
          <w:rFonts w:ascii="Arial" w:hAnsi="Arial" w:cs="Arial"/>
          <w:b/>
          <w:sz w:val="22"/>
          <w:lang w:val="es-ES"/>
        </w:rPr>
      </w:pPr>
      <w:r>
        <w:rPr>
          <w:rFonts w:ascii="Arial" w:hAnsi="Arial" w:cs="Arial"/>
          <w:b/>
          <w:sz w:val="22"/>
          <w:lang w:val="es-ES"/>
        </w:rPr>
        <w:t>CP/0400</w:t>
      </w:r>
      <w:r w:rsidR="00F7608B">
        <w:rPr>
          <w:rFonts w:ascii="Arial" w:hAnsi="Arial" w:cs="Arial"/>
          <w:b/>
          <w:sz w:val="22"/>
          <w:lang w:val="es-ES"/>
        </w:rPr>
        <w:t>/2025</w:t>
      </w:r>
    </w:p>
    <w:p w14:paraId="695E3F55" w14:textId="3E828D6A" w:rsidR="00703B09" w:rsidRDefault="00332EFF" w:rsidP="00703B09">
      <w:pPr>
        <w:jc w:val="right"/>
        <w:rPr>
          <w:rFonts w:ascii="Arial" w:hAnsi="Arial" w:cs="Arial"/>
          <w:sz w:val="22"/>
          <w:lang w:val="es-ES"/>
        </w:rPr>
      </w:pPr>
      <w:r>
        <w:rPr>
          <w:rFonts w:ascii="Arial" w:hAnsi="Arial" w:cs="Arial"/>
          <w:sz w:val="22"/>
          <w:lang w:val="es-ES"/>
        </w:rPr>
        <w:t>31</w:t>
      </w:r>
      <w:r w:rsidR="000528E9">
        <w:rPr>
          <w:rFonts w:ascii="Arial" w:hAnsi="Arial" w:cs="Arial"/>
          <w:sz w:val="22"/>
          <w:lang w:val="es-ES"/>
        </w:rPr>
        <w:t xml:space="preserve"> </w:t>
      </w:r>
      <w:r w:rsidR="00EA29FA">
        <w:rPr>
          <w:rFonts w:ascii="Arial" w:hAnsi="Arial" w:cs="Arial"/>
          <w:sz w:val="22"/>
          <w:lang w:val="es-ES"/>
        </w:rPr>
        <w:t xml:space="preserve">de </w:t>
      </w:r>
      <w:r w:rsidR="007B49C8">
        <w:rPr>
          <w:rFonts w:ascii="Arial" w:hAnsi="Arial" w:cs="Arial"/>
          <w:sz w:val="22"/>
          <w:lang w:val="es-ES"/>
        </w:rPr>
        <w:t>marzo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17B21405" w:rsidR="00D123A7" w:rsidRDefault="00332EFF" w:rsidP="00332EFF">
      <w:pPr>
        <w:jc w:val="center"/>
        <w:rPr>
          <w:rFonts w:ascii="Arial" w:hAnsi="Arial" w:cs="Arial"/>
          <w:b/>
          <w:sz w:val="28"/>
          <w:szCs w:val="28"/>
        </w:rPr>
      </w:pPr>
      <w:r w:rsidRPr="00332EFF">
        <w:rPr>
          <w:rFonts w:ascii="Arial" w:hAnsi="Arial" w:cs="Arial"/>
          <w:b/>
          <w:sz w:val="28"/>
          <w:szCs w:val="28"/>
        </w:rPr>
        <w:t>E</w:t>
      </w:r>
      <w:r>
        <w:rPr>
          <w:rFonts w:ascii="Arial" w:hAnsi="Arial" w:cs="Arial"/>
          <w:b/>
          <w:sz w:val="28"/>
          <w:szCs w:val="28"/>
        </w:rPr>
        <w:t xml:space="preserve">NTREGÓ EL EJECUTIVO AL CONGRESO </w:t>
      </w:r>
      <w:r w:rsidRPr="00332EFF">
        <w:rPr>
          <w:rFonts w:ascii="Arial" w:hAnsi="Arial" w:cs="Arial"/>
          <w:b/>
          <w:sz w:val="28"/>
          <w:szCs w:val="28"/>
        </w:rPr>
        <w:t>LA CUENTA PÚBLICA 2024</w:t>
      </w:r>
    </w:p>
    <w:p w14:paraId="7D0BF223" w14:textId="77777777" w:rsidR="00332EFF" w:rsidRPr="00221F80" w:rsidRDefault="00332EFF" w:rsidP="00332EFF">
      <w:pPr>
        <w:rPr>
          <w:rFonts w:ascii="Arial" w:hAnsi="Arial" w:cs="Arial"/>
          <w:b/>
          <w:sz w:val="22"/>
          <w:szCs w:val="22"/>
        </w:rPr>
      </w:pPr>
    </w:p>
    <w:p w14:paraId="3F665868" w14:textId="77777777" w:rsidR="00332EFF" w:rsidRPr="00332EFF" w:rsidRDefault="00332EFF" w:rsidP="00332EFF">
      <w:pPr>
        <w:pStyle w:val="Prrafodelista"/>
        <w:numPr>
          <w:ilvl w:val="0"/>
          <w:numId w:val="21"/>
        </w:numPr>
        <w:rPr>
          <w:rFonts w:ascii="Arial" w:hAnsi="Arial" w:cs="Arial"/>
          <w:b/>
        </w:rPr>
      </w:pPr>
      <w:bookmarkStart w:id="0" w:name="_GoBack"/>
      <w:r w:rsidRPr="00332EFF">
        <w:rPr>
          <w:rFonts w:ascii="Arial" w:hAnsi="Arial" w:cs="Arial"/>
          <w:i/>
        </w:rPr>
        <w:t xml:space="preserve">Los ingresos totales fueron 6.9 por ciento mayores que en el año anterior. </w:t>
      </w:r>
    </w:p>
    <w:p w14:paraId="126C96D3" w14:textId="545A557D" w:rsidR="00394AB5" w:rsidRPr="00221F80" w:rsidRDefault="00332EFF" w:rsidP="00332EFF">
      <w:pPr>
        <w:pStyle w:val="Prrafodelista"/>
        <w:numPr>
          <w:ilvl w:val="0"/>
          <w:numId w:val="21"/>
        </w:numPr>
        <w:rPr>
          <w:rFonts w:ascii="Arial" w:hAnsi="Arial" w:cs="Arial"/>
          <w:b/>
        </w:rPr>
      </w:pPr>
      <w:r w:rsidRPr="00332EFF">
        <w:rPr>
          <w:rFonts w:ascii="Arial" w:hAnsi="Arial" w:cs="Arial"/>
          <w:i/>
        </w:rPr>
        <w:t>La inversión social y en infraestructura superó los 70 mil millones de pesos.</w:t>
      </w:r>
    </w:p>
    <w:p w14:paraId="336DFC65" w14:textId="0E8C3D3B" w:rsidR="00332EFF" w:rsidRPr="00332EFF" w:rsidRDefault="00EA29FA" w:rsidP="00332EFF">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332EFF" w:rsidRPr="00332EFF">
        <w:rPr>
          <w:rFonts w:ascii="Arial" w:hAnsi="Arial" w:cs="Arial"/>
          <w:sz w:val="28"/>
          <w:szCs w:val="28"/>
        </w:rPr>
        <w:t>Los ingresos totales de</w:t>
      </w:r>
      <w:r w:rsidR="005F5EDF">
        <w:rPr>
          <w:rFonts w:ascii="Arial" w:hAnsi="Arial" w:cs="Arial"/>
          <w:sz w:val="28"/>
          <w:szCs w:val="28"/>
        </w:rPr>
        <w:t>l</w:t>
      </w:r>
      <w:r w:rsidR="00332EFF">
        <w:rPr>
          <w:rFonts w:ascii="Arial" w:hAnsi="Arial" w:cs="Arial"/>
          <w:sz w:val="28"/>
          <w:szCs w:val="28"/>
        </w:rPr>
        <w:t xml:space="preserve"> </w:t>
      </w:r>
      <w:r w:rsidR="00332EFF" w:rsidRPr="00332EFF">
        <w:rPr>
          <w:rFonts w:ascii="Arial" w:hAnsi="Arial" w:cs="Arial"/>
          <w:sz w:val="28"/>
          <w:szCs w:val="28"/>
        </w:rPr>
        <w:t>Gobierno de Nuevo León en 2024 ascendieron a 146</w:t>
      </w:r>
      <w:r w:rsidR="00332EFF">
        <w:rPr>
          <w:rFonts w:ascii="Arial" w:hAnsi="Arial" w:cs="Arial"/>
          <w:sz w:val="28"/>
          <w:szCs w:val="28"/>
        </w:rPr>
        <w:t xml:space="preserve"> </w:t>
      </w:r>
      <w:r w:rsidR="00332EFF" w:rsidRPr="00332EFF">
        <w:rPr>
          <w:rFonts w:ascii="Arial" w:hAnsi="Arial" w:cs="Arial"/>
          <w:sz w:val="28"/>
          <w:szCs w:val="28"/>
        </w:rPr>
        <w:t>mil 831 millones de pesos, cantidad 6.9 por ciento mayor a los registrados en el año previo. Estos ingresos están compuestos por aportaciones y convenios federales, así como participaciones federales e ingresos propios, y no incluyen el financiamiento.</w:t>
      </w:r>
    </w:p>
    <w:p w14:paraId="1D787607" w14:textId="77777777" w:rsidR="00332EFF" w:rsidRPr="00332EFF" w:rsidRDefault="00332EFF" w:rsidP="00332EFF">
      <w:pPr>
        <w:jc w:val="both"/>
        <w:rPr>
          <w:rFonts w:ascii="Arial" w:hAnsi="Arial" w:cs="Arial"/>
          <w:sz w:val="28"/>
          <w:szCs w:val="28"/>
        </w:rPr>
      </w:pPr>
      <w:r w:rsidRPr="00332EFF">
        <w:rPr>
          <w:rFonts w:ascii="Arial" w:hAnsi="Arial" w:cs="Arial"/>
          <w:sz w:val="28"/>
          <w:szCs w:val="28"/>
        </w:rPr>
        <w:t> </w:t>
      </w:r>
    </w:p>
    <w:p w14:paraId="31549B06" w14:textId="77777777" w:rsidR="00332EFF" w:rsidRPr="00332EFF" w:rsidRDefault="00332EFF" w:rsidP="00332EFF">
      <w:pPr>
        <w:jc w:val="both"/>
        <w:rPr>
          <w:rFonts w:ascii="Arial" w:hAnsi="Arial" w:cs="Arial"/>
          <w:sz w:val="28"/>
          <w:szCs w:val="28"/>
        </w:rPr>
      </w:pPr>
      <w:r w:rsidRPr="00332EFF">
        <w:rPr>
          <w:rFonts w:ascii="Arial" w:hAnsi="Arial" w:cs="Arial"/>
          <w:sz w:val="28"/>
          <w:szCs w:val="28"/>
        </w:rPr>
        <w:t>Así se establece en la Cuenta Pública correspondiente al ejercicio 2024, que el Ejecutivo entregó este día al Congreso del Estado, por conducto del director de Contabilidad y Cuenta Pública, Emmanuel del Real.</w:t>
      </w:r>
    </w:p>
    <w:p w14:paraId="15CBFCAA" w14:textId="77777777" w:rsidR="00332EFF" w:rsidRPr="00332EFF" w:rsidRDefault="00332EFF" w:rsidP="00332EFF">
      <w:pPr>
        <w:jc w:val="both"/>
        <w:rPr>
          <w:rFonts w:ascii="Arial" w:hAnsi="Arial" w:cs="Arial"/>
          <w:sz w:val="28"/>
          <w:szCs w:val="28"/>
        </w:rPr>
      </w:pPr>
      <w:r w:rsidRPr="00332EFF">
        <w:rPr>
          <w:rFonts w:ascii="Arial" w:hAnsi="Arial" w:cs="Arial"/>
          <w:sz w:val="28"/>
          <w:szCs w:val="28"/>
        </w:rPr>
        <w:t> </w:t>
      </w:r>
    </w:p>
    <w:p w14:paraId="4DA8C42C" w14:textId="77777777" w:rsidR="00332EFF" w:rsidRPr="00332EFF" w:rsidRDefault="00332EFF" w:rsidP="00332EFF">
      <w:pPr>
        <w:jc w:val="both"/>
        <w:rPr>
          <w:rFonts w:ascii="Arial" w:hAnsi="Arial" w:cs="Arial"/>
          <w:sz w:val="28"/>
          <w:szCs w:val="28"/>
        </w:rPr>
      </w:pPr>
      <w:r w:rsidRPr="00332EFF">
        <w:rPr>
          <w:rFonts w:ascii="Arial" w:hAnsi="Arial" w:cs="Arial"/>
          <w:sz w:val="28"/>
          <w:szCs w:val="28"/>
        </w:rPr>
        <w:t xml:space="preserve">Algunos aspectos relevantes de la Cuenta Pública 2024 son los siguientes: </w:t>
      </w:r>
    </w:p>
    <w:p w14:paraId="5E7AB196" w14:textId="77777777" w:rsidR="00332EFF" w:rsidRPr="00332EFF" w:rsidRDefault="00332EFF" w:rsidP="00332EFF">
      <w:pPr>
        <w:jc w:val="both"/>
        <w:rPr>
          <w:rFonts w:ascii="Arial" w:hAnsi="Arial" w:cs="Arial"/>
          <w:sz w:val="28"/>
          <w:szCs w:val="28"/>
        </w:rPr>
      </w:pPr>
      <w:r w:rsidRPr="00332EFF">
        <w:rPr>
          <w:rFonts w:ascii="Arial" w:hAnsi="Arial" w:cs="Arial"/>
          <w:sz w:val="28"/>
          <w:szCs w:val="28"/>
        </w:rPr>
        <w:t> </w:t>
      </w:r>
    </w:p>
    <w:p w14:paraId="23FBAD06" w14:textId="77777777" w:rsidR="00332EFF" w:rsidRPr="00332EFF" w:rsidRDefault="00332EFF" w:rsidP="00332EFF">
      <w:pPr>
        <w:jc w:val="both"/>
        <w:rPr>
          <w:rFonts w:ascii="Arial" w:hAnsi="Arial" w:cs="Arial"/>
          <w:sz w:val="28"/>
          <w:szCs w:val="28"/>
        </w:rPr>
      </w:pPr>
      <w:r w:rsidRPr="00332EFF">
        <w:rPr>
          <w:rFonts w:ascii="Arial" w:hAnsi="Arial" w:cs="Arial"/>
          <w:sz w:val="28"/>
          <w:szCs w:val="28"/>
        </w:rPr>
        <w:t>1. Ingresos del ejercicio:</w:t>
      </w:r>
    </w:p>
    <w:p w14:paraId="09297761" w14:textId="77777777" w:rsidR="00332EFF" w:rsidRPr="00332EFF" w:rsidRDefault="00332EFF" w:rsidP="00332EFF">
      <w:pPr>
        <w:jc w:val="both"/>
        <w:rPr>
          <w:rFonts w:ascii="Arial" w:hAnsi="Arial" w:cs="Arial"/>
          <w:sz w:val="28"/>
          <w:szCs w:val="28"/>
        </w:rPr>
      </w:pPr>
      <w:r w:rsidRPr="00332EFF">
        <w:rPr>
          <w:rFonts w:ascii="Arial" w:hAnsi="Arial" w:cs="Arial"/>
          <w:sz w:val="28"/>
          <w:szCs w:val="28"/>
        </w:rPr>
        <w:t> </w:t>
      </w:r>
    </w:p>
    <w:p w14:paraId="16D5808F" w14:textId="2C920A0C" w:rsidR="00332EFF" w:rsidRPr="00332EFF" w:rsidRDefault="00332EFF" w:rsidP="00332EFF">
      <w:pPr>
        <w:pStyle w:val="Prrafodelista"/>
        <w:numPr>
          <w:ilvl w:val="0"/>
          <w:numId w:val="21"/>
        </w:numPr>
        <w:jc w:val="both"/>
        <w:rPr>
          <w:rFonts w:ascii="Arial" w:hAnsi="Arial" w:cs="Arial"/>
          <w:sz w:val="28"/>
          <w:szCs w:val="28"/>
        </w:rPr>
      </w:pPr>
      <w:r w:rsidRPr="00332EFF">
        <w:rPr>
          <w:rFonts w:ascii="Arial" w:hAnsi="Arial" w:cs="Arial"/>
          <w:sz w:val="28"/>
          <w:szCs w:val="28"/>
        </w:rPr>
        <w:t>Los Ingresos Propios, compuestos por recaudación de impuestos, cobro de derechos, productos y aprovechamientos, sumaron 31 mil 713 millones de pesos, cantidad que es 9.3 por ciento más que lo recaudado en el mismo periodo del año anterior, excluyendo, para efectos comparativos, los derechos recaudados por el Instituto de Control Vehicular.</w:t>
      </w:r>
    </w:p>
    <w:p w14:paraId="17B1A9E5" w14:textId="77777777" w:rsidR="00332EFF" w:rsidRPr="00332EFF" w:rsidRDefault="00332EFF" w:rsidP="00332EFF">
      <w:pPr>
        <w:jc w:val="both"/>
        <w:rPr>
          <w:rFonts w:ascii="Arial" w:hAnsi="Arial" w:cs="Arial"/>
          <w:sz w:val="28"/>
          <w:szCs w:val="28"/>
        </w:rPr>
      </w:pPr>
      <w:r w:rsidRPr="00332EFF">
        <w:rPr>
          <w:rFonts w:ascii="Arial" w:hAnsi="Arial" w:cs="Arial"/>
          <w:sz w:val="28"/>
          <w:szCs w:val="28"/>
        </w:rPr>
        <w:t> </w:t>
      </w:r>
    </w:p>
    <w:p w14:paraId="15CF75A9" w14:textId="60DB58C3" w:rsidR="00332EFF" w:rsidRPr="00332EFF" w:rsidRDefault="00332EFF" w:rsidP="00332EFF">
      <w:pPr>
        <w:pStyle w:val="Prrafodelista"/>
        <w:numPr>
          <w:ilvl w:val="0"/>
          <w:numId w:val="21"/>
        </w:numPr>
        <w:jc w:val="both"/>
        <w:rPr>
          <w:rFonts w:ascii="Arial" w:hAnsi="Arial" w:cs="Arial"/>
          <w:sz w:val="28"/>
          <w:szCs w:val="28"/>
        </w:rPr>
      </w:pPr>
      <w:r w:rsidRPr="00332EFF">
        <w:rPr>
          <w:rFonts w:ascii="Arial" w:hAnsi="Arial" w:cs="Arial"/>
          <w:sz w:val="28"/>
          <w:szCs w:val="28"/>
        </w:rPr>
        <w:lastRenderedPageBreak/>
        <w:t>La recaudación del Impuesto sobre Nóminas fue de 16 mil 643 millones de pesos, es decir, aumentó un 12.9 por ciento respecto a 2023.</w:t>
      </w:r>
    </w:p>
    <w:p w14:paraId="52E1821A" w14:textId="2A327749" w:rsidR="00332EFF" w:rsidRPr="00332EFF" w:rsidRDefault="00332EFF" w:rsidP="00332EFF">
      <w:pPr>
        <w:ind w:firstLine="75"/>
        <w:jc w:val="both"/>
        <w:rPr>
          <w:rFonts w:ascii="Arial" w:hAnsi="Arial" w:cs="Arial"/>
          <w:sz w:val="28"/>
          <w:szCs w:val="28"/>
        </w:rPr>
      </w:pPr>
    </w:p>
    <w:p w14:paraId="3048F1A5" w14:textId="6D17035F" w:rsidR="00332EFF" w:rsidRPr="00332EFF" w:rsidRDefault="00332EFF" w:rsidP="00332EFF">
      <w:pPr>
        <w:pStyle w:val="Prrafodelista"/>
        <w:numPr>
          <w:ilvl w:val="0"/>
          <w:numId w:val="21"/>
        </w:numPr>
        <w:jc w:val="both"/>
        <w:rPr>
          <w:rFonts w:ascii="Arial" w:hAnsi="Arial" w:cs="Arial"/>
          <w:sz w:val="28"/>
          <w:szCs w:val="28"/>
        </w:rPr>
      </w:pPr>
      <w:r w:rsidRPr="00332EFF">
        <w:rPr>
          <w:rFonts w:ascii="Arial" w:hAnsi="Arial" w:cs="Arial"/>
          <w:sz w:val="28"/>
          <w:szCs w:val="28"/>
        </w:rPr>
        <w:t>Las Participaciones e Incentivos Federales sumaron 68 mil 136 millones de pesos, cantidad 4.2 por ciento mayor a lo recibido en el mismo periodo de 2023. Las Participaciones Federales referenciadas a la Recaudación Federal Participable aumentaron en 913 millones de pesos respecto al año pasado, y las participaciones no referenciadas tuvieron un crecimiento de 1 mil 828 millones de pesos.</w:t>
      </w:r>
    </w:p>
    <w:p w14:paraId="796B0461" w14:textId="77777777" w:rsidR="00332EFF" w:rsidRPr="00332EFF" w:rsidRDefault="00332EFF" w:rsidP="00332EFF">
      <w:pPr>
        <w:jc w:val="both"/>
        <w:rPr>
          <w:rFonts w:ascii="Arial" w:hAnsi="Arial" w:cs="Arial"/>
          <w:sz w:val="28"/>
          <w:szCs w:val="28"/>
        </w:rPr>
      </w:pPr>
      <w:r w:rsidRPr="00332EFF">
        <w:rPr>
          <w:rFonts w:ascii="Arial" w:hAnsi="Arial" w:cs="Arial"/>
          <w:sz w:val="28"/>
          <w:szCs w:val="28"/>
        </w:rPr>
        <w:t> </w:t>
      </w:r>
    </w:p>
    <w:p w14:paraId="1993FB58" w14:textId="77777777" w:rsidR="00332EFF" w:rsidRDefault="00332EFF" w:rsidP="00332EFF">
      <w:pPr>
        <w:jc w:val="both"/>
        <w:rPr>
          <w:rFonts w:ascii="Arial" w:hAnsi="Arial" w:cs="Arial"/>
          <w:sz w:val="28"/>
          <w:szCs w:val="28"/>
        </w:rPr>
      </w:pPr>
      <w:r w:rsidRPr="00332EFF">
        <w:rPr>
          <w:rFonts w:ascii="Arial" w:hAnsi="Arial" w:cs="Arial"/>
          <w:sz w:val="28"/>
          <w:szCs w:val="28"/>
        </w:rPr>
        <w:t>2. Financiamiento:</w:t>
      </w:r>
    </w:p>
    <w:p w14:paraId="7B61322B" w14:textId="77777777" w:rsidR="00332EFF" w:rsidRPr="00332EFF" w:rsidRDefault="00332EFF" w:rsidP="00332EFF">
      <w:pPr>
        <w:jc w:val="both"/>
        <w:rPr>
          <w:rFonts w:ascii="Arial" w:hAnsi="Arial" w:cs="Arial"/>
          <w:sz w:val="28"/>
          <w:szCs w:val="28"/>
        </w:rPr>
      </w:pPr>
    </w:p>
    <w:p w14:paraId="5D1E2D6B" w14:textId="652B6DAD" w:rsidR="00332EFF" w:rsidRPr="00332EFF" w:rsidRDefault="00332EFF" w:rsidP="00332EFF">
      <w:pPr>
        <w:pStyle w:val="Prrafodelista"/>
        <w:numPr>
          <w:ilvl w:val="0"/>
          <w:numId w:val="21"/>
        </w:numPr>
        <w:jc w:val="both"/>
        <w:rPr>
          <w:rFonts w:ascii="Arial" w:hAnsi="Arial" w:cs="Arial"/>
          <w:sz w:val="28"/>
          <w:szCs w:val="28"/>
        </w:rPr>
      </w:pPr>
      <w:r w:rsidRPr="00332EFF">
        <w:rPr>
          <w:rFonts w:ascii="Arial" w:hAnsi="Arial" w:cs="Arial"/>
          <w:sz w:val="28"/>
          <w:szCs w:val="28"/>
        </w:rPr>
        <w:t>El financiamiento de corto plazo fue de 7 mil 796 millones de pesos. Es importante precisar que la deuda de corto plazo fue mayor que en otros años, debido a que el Legislativo no aprobó el Paquete Fiscal 2024 y el Gobierno estatal no contaba con la autorización para contratar financiamiento de largo plazo. Ante la necesidad de solventar la inversión pública productiva que estaba programada, el Gobierno del Estado debió recurrir al financiamiento de corto plazo.</w:t>
      </w:r>
    </w:p>
    <w:p w14:paraId="69C14287" w14:textId="77777777" w:rsidR="00332EFF" w:rsidRPr="00332EFF" w:rsidRDefault="00332EFF" w:rsidP="00332EFF">
      <w:pPr>
        <w:jc w:val="both"/>
        <w:rPr>
          <w:rFonts w:ascii="Arial" w:hAnsi="Arial" w:cs="Arial"/>
          <w:sz w:val="28"/>
          <w:szCs w:val="28"/>
        </w:rPr>
      </w:pPr>
      <w:r w:rsidRPr="00332EFF">
        <w:rPr>
          <w:rFonts w:ascii="Arial" w:hAnsi="Arial" w:cs="Arial"/>
          <w:sz w:val="28"/>
          <w:szCs w:val="28"/>
        </w:rPr>
        <w:t> </w:t>
      </w:r>
    </w:p>
    <w:p w14:paraId="36221B05" w14:textId="77777777" w:rsidR="00332EFF" w:rsidRPr="00332EFF" w:rsidRDefault="00332EFF" w:rsidP="00332EFF">
      <w:pPr>
        <w:jc w:val="both"/>
        <w:rPr>
          <w:rFonts w:ascii="Arial" w:hAnsi="Arial" w:cs="Arial"/>
          <w:sz w:val="28"/>
          <w:szCs w:val="28"/>
        </w:rPr>
      </w:pPr>
      <w:r w:rsidRPr="00332EFF">
        <w:rPr>
          <w:rFonts w:ascii="Arial" w:hAnsi="Arial" w:cs="Arial"/>
          <w:sz w:val="28"/>
          <w:szCs w:val="28"/>
        </w:rPr>
        <w:t>3. Balance Presupuestario Positivo y Sostenibilidad Financiera:</w:t>
      </w:r>
    </w:p>
    <w:p w14:paraId="557370D2" w14:textId="4C634328" w:rsidR="00332EFF" w:rsidRPr="00332EFF" w:rsidRDefault="00332EFF" w:rsidP="00332EFF">
      <w:pPr>
        <w:pStyle w:val="Prrafodelista"/>
        <w:numPr>
          <w:ilvl w:val="0"/>
          <w:numId w:val="21"/>
        </w:numPr>
        <w:jc w:val="both"/>
        <w:rPr>
          <w:rFonts w:ascii="Arial" w:hAnsi="Arial" w:cs="Arial"/>
          <w:sz w:val="28"/>
          <w:szCs w:val="28"/>
        </w:rPr>
      </w:pPr>
      <w:r w:rsidRPr="00332EFF">
        <w:rPr>
          <w:rFonts w:ascii="Arial" w:hAnsi="Arial" w:cs="Arial"/>
          <w:sz w:val="28"/>
          <w:szCs w:val="28"/>
        </w:rPr>
        <w:t>Se reporta un balance presupuestario positivo de 6 mil 650 millones de pesos, lo que refleja una administración eficiente de los recursos públicos, que asegura la sostenibilidad financiera del Estado.</w:t>
      </w:r>
    </w:p>
    <w:p w14:paraId="48BC189B" w14:textId="77777777" w:rsidR="00332EFF" w:rsidRPr="00332EFF" w:rsidRDefault="00332EFF" w:rsidP="00332EFF">
      <w:pPr>
        <w:jc w:val="both"/>
        <w:rPr>
          <w:rFonts w:ascii="Arial" w:hAnsi="Arial" w:cs="Arial"/>
          <w:sz w:val="28"/>
          <w:szCs w:val="28"/>
        </w:rPr>
      </w:pPr>
      <w:r w:rsidRPr="00332EFF">
        <w:rPr>
          <w:rFonts w:ascii="Arial" w:hAnsi="Arial" w:cs="Arial"/>
          <w:sz w:val="28"/>
          <w:szCs w:val="28"/>
        </w:rPr>
        <w:lastRenderedPageBreak/>
        <w:t> </w:t>
      </w:r>
    </w:p>
    <w:p w14:paraId="7308D6DC" w14:textId="77777777" w:rsidR="00332EFF" w:rsidRDefault="00332EFF" w:rsidP="00332EFF">
      <w:pPr>
        <w:jc w:val="both"/>
        <w:rPr>
          <w:rFonts w:ascii="Arial" w:hAnsi="Arial" w:cs="Arial"/>
          <w:sz w:val="28"/>
          <w:szCs w:val="28"/>
        </w:rPr>
      </w:pPr>
      <w:r w:rsidRPr="00332EFF">
        <w:rPr>
          <w:rFonts w:ascii="Arial" w:hAnsi="Arial" w:cs="Arial"/>
          <w:sz w:val="28"/>
          <w:szCs w:val="28"/>
        </w:rPr>
        <w:t>4. Incremento en la Inversión Social y en Infraestructura</w:t>
      </w:r>
    </w:p>
    <w:p w14:paraId="0BE0C329" w14:textId="77777777" w:rsidR="00332EFF" w:rsidRPr="00332EFF" w:rsidRDefault="00332EFF" w:rsidP="00332EFF">
      <w:pPr>
        <w:jc w:val="both"/>
        <w:rPr>
          <w:rFonts w:ascii="Arial" w:hAnsi="Arial" w:cs="Arial"/>
          <w:sz w:val="28"/>
          <w:szCs w:val="28"/>
        </w:rPr>
      </w:pPr>
    </w:p>
    <w:p w14:paraId="5ACEA8A3" w14:textId="4C4A74FB" w:rsidR="00332EFF" w:rsidRPr="00332EFF" w:rsidRDefault="00332EFF" w:rsidP="00332EFF">
      <w:pPr>
        <w:pStyle w:val="Prrafodelista"/>
        <w:numPr>
          <w:ilvl w:val="0"/>
          <w:numId w:val="21"/>
        </w:numPr>
        <w:jc w:val="both"/>
        <w:rPr>
          <w:rFonts w:ascii="Arial" w:hAnsi="Arial" w:cs="Arial"/>
          <w:sz w:val="28"/>
          <w:szCs w:val="28"/>
        </w:rPr>
      </w:pPr>
      <w:r w:rsidRPr="00332EFF">
        <w:rPr>
          <w:rFonts w:ascii="Arial" w:hAnsi="Arial" w:cs="Arial"/>
          <w:sz w:val="28"/>
          <w:szCs w:val="28"/>
        </w:rPr>
        <w:t>Se destaca la Inversión Social y en Infraestructura, en programas clave para educación, seguridad y salud, por 70 mil 787 millones de pesos.</w:t>
      </w:r>
    </w:p>
    <w:p w14:paraId="4E240B26" w14:textId="71E3FDE9" w:rsidR="00332EFF" w:rsidRPr="00332EFF" w:rsidRDefault="00332EFF" w:rsidP="00332EFF">
      <w:pPr>
        <w:pStyle w:val="Prrafodelista"/>
        <w:numPr>
          <w:ilvl w:val="0"/>
          <w:numId w:val="21"/>
        </w:numPr>
        <w:jc w:val="both"/>
        <w:rPr>
          <w:rFonts w:ascii="Arial" w:hAnsi="Arial" w:cs="Arial"/>
          <w:sz w:val="28"/>
          <w:szCs w:val="28"/>
        </w:rPr>
      </w:pPr>
      <w:r w:rsidRPr="00332EFF">
        <w:rPr>
          <w:rFonts w:ascii="Arial" w:hAnsi="Arial" w:cs="Arial"/>
          <w:sz w:val="28"/>
          <w:szCs w:val="28"/>
        </w:rPr>
        <w:t>La inversión en infraestructura sumó 12 mil 073millones de pesos, que fueron aplicados en proyectos de movilidad urbana, modernización del transporte y conservación de la red carretera, principalmente.</w:t>
      </w:r>
    </w:p>
    <w:p w14:paraId="57CC9535" w14:textId="77777777" w:rsidR="00332EFF" w:rsidRPr="00332EFF" w:rsidRDefault="00332EFF" w:rsidP="00332EFF">
      <w:pPr>
        <w:jc w:val="both"/>
        <w:rPr>
          <w:rFonts w:ascii="Arial" w:hAnsi="Arial" w:cs="Arial"/>
          <w:sz w:val="28"/>
          <w:szCs w:val="28"/>
        </w:rPr>
      </w:pPr>
      <w:r w:rsidRPr="00332EFF">
        <w:rPr>
          <w:rFonts w:ascii="Arial" w:hAnsi="Arial" w:cs="Arial"/>
          <w:sz w:val="28"/>
          <w:szCs w:val="28"/>
        </w:rPr>
        <w:t> </w:t>
      </w:r>
    </w:p>
    <w:p w14:paraId="5E84FB60" w14:textId="77777777" w:rsidR="00332EFF" w:rsidRPr="00332EFF" w:rsidRDefault="00332EFF" w:rsidP="00332EFF">
      <w:pPr>
        <w:jc w:val="both"/>
        <w:rPr>
          <w:rFonts w:ascii="Arial" w:hAnsi="Arial" w:cs="Arial"/>
          <w:sz w:val="28"/>
          <w:szCs w:val="28"/>
        </w:rPr>
      </w:pPr>
      <w:r w:rsidRPr="00332EFF">
        <w:rPr>
          <w:rFonts w:ascii="Arial" w:hAnsi="Arial" w:cs="Arial"/>
          <w:sz w:val="28"/>
          <w:szCs w:val="28"/>
        </w:rPr>
        <w:t>5. Aumento en Participaciones Federales</w:t>
      </w:r>
    </w:p>
    <w:p w14:paraId="2EAC8C02" w14:textId="03803A81" w:rsidR="00332EFF" w:rsidRPr="00332EFF" w:rsidRDefault="00332EFF" w:rsidP="00332EFF">
      <w:pPr>
        <w:pStyle w:val="Prrafodelista"/>
        <w:numPr>
          <w:ilvl w:val="0"/>
          <w:numId w:val="21"/>
        </w:numPr>
        <w:jc w:val="both"/>
        <w:rPr>
          <w:rFonts w:ascii="Arial" w:hAnsi="Arial" w:cs="Arial"/>
          <w:sz w:val="28"/>
          <w:szCs w:val="28"/>
        </w:rPr>
      </w:pPr>
      <w:r w:rsidRPr="00332EFF">
        <w:rPr>
          <w:rFonts w:ascii="Arial" w:hAnsi="Arial" w:cs="Arial"/>
          <w:sz w:val="28"/>
          <w:szCs w:val="28"/>
        </w:rPr>
        <w:t>El Estado recibió 46 mil 887 millones de pesos en transferencias federales, cantidad que es superior en 3mil 944 millones de pesos respecto al año previo.</w:t>
      </w:r>
    </w:p>
    <w:p w14:paraId="2C84056A" w14:textId="77777777" w:rsidR="00332EFF" w:rsidRPr="00332EFF" w:rsidRDefault="00332EFF" w:rsidP="00332EFF">
      <w:pPr>
        <w:jc w:val="both"/>
        <w:rPr>
          <w:rFonts w:ascii="Arial" w:hAnsi="Arial" w:cs="Arial"/>
          <w:sz w:val="28"/>
          <w:szCs w:val="28"/>
        </w:rPr>
      </w:pPr>
      <w:r w:rsidRPr="00332EFF">
        <w:rPr>
          <w:rFonts w:ascii="Arial" w:hAnsi="Arial" w:cs="Arial"/>
          <w:sz w:val="28"/>
          <w:szCs w:val="28"/>
        </w:rPr>
        <w:t> </w:t>
      </w:r>
    </w:p>
    <w:p w14:paraId="5FD0816E" w14:textId="77777777" w:rsidR="00332EFF" w:rsidRPr="00332EFF" w:rsidRDefault="00332EFF" w:rsidP="00332EFF">
      <w:pPr>
        <w:jc w:val="both"/>
        <w:rPr>
          <w:rFonts w:ascii="Arial" w:hAnsi="Arial" w:cs="Arial"/>
          <w:sz w:val="28"/>
          <w:szCs w:val="28"/>
        </w:rPr>
      </w:pPr>
      <w:r w:rsidRPr="00332EFF">
        <w:rPr>
          <w:rFonts w:ascii="Arial" w:hAnsi="Arial" w:cs="Arial"/>
          <w:sz w:val="28"/>
          <w:szCs w:val="28"/>
        </w:rPr>
        <w:t>6. Gestión del gasto:</w:t>
      </w:r>
    </w:p>
    <w:p w14:paraId="5430BFB0" w14:textId="2774A956" w:rsidR="00332EFF" w:rsidRPr="00332EFF" w:rsidRDefault="00332EFF" w:rsidP="00332EFF">
      <w:pPr>
        <w:pStyle w:val="Prrafodelista"/>
        <w:numPr>
          <w:ilvl w:val="0"/>
          <w:numId w:val="21"/>
        </w:numPr>
        <w:jc w:val="both"/>
        <w:rPr>
          <w:rFonts w:ascii="Arial" w:hAnsi="Arial" w:cs="Arial"/>
          <w:sz w:val="28"/>
          <w:szCs w:val="28"/>
        </w:rPr>
      </w:pPr>
      <w:r w:rsidRPr="00332EFF">
        <w:rPr>
          <w:rFonts w:ascii="Arial" w:hAnsi="Arial" w:cs="Arial"/>
          <w:sz w:val="28"/>
          <w:szCs w:val="28"/>
        </w:rPr>
        <w:t xml:space="preserve">Los Egresos Totales al cierre de la Cuenta Pública de 2024 fueron de 155 mil 012 millones de pesos. Los Egresos Ordinarios, que no incluyen la deuda refinanciada y </w:t>
      </w:r>
      <w:proofErr w:type="spellStart"/>
      <w:r w:rsidRPr="00332EFF">
        <w:rPr>
          <w:rFonts w:ascii="Arial" w:hAnsi="Arial" w:cs="Arial"/>
          <w:sz w:val="28"/>
          <w:szCs w:val="28"/>
        </w:rPr>
        <w:t>revolvencias</w:t>
      </w:r>
      <w:proofErr w:type="spellEnd"/>
      <w:r w:rsidRPr="00332EFF">
        <w:rPr>
          <w:rFonts w:ascii="Arial" w:hAnsi="Arial" w:cs="Arial"/>
          <w:sz w:val="28"/>
          <w:szCs w:val="28"/>
        </w:rPr>
        <w:t xml:space="preserve"> de corto plazo, ascendieron a 150 mil 378 millones de pesos, cantidad que es 2.6 por ciento más que en el mismo lapso del año anterior.</w:t>
      </w:r>
    </w:p>
    <w:p w14:paraId="6D369E46" w14:textId="77777777" w:rsidR="00332EFF" w:rsidRPr="00332EFF" w:rsidRDefault="00332EFF" w:rsidP="00332EFF">
      <w:pPr>
        <w:jc w:val="both"/>
        <w:rPr>
          <w:rFonts w:ascii="Arial" w:hAnsi="Arial" w:cs="Arial"/>
          <w:sz w:val="28"/>
          <w:szCs w:val="28"/>
        </w:rPr>
      </w:pPr>
      <w:r w:rsidRPr="00332EFF">
        <w:rPr>
          <w:rFonts w:ascii="Arial" w:hAnsi="Arial" w:cs="Arial"/>
          <w:sz w:val="28"/>
          <w:szCs w:val="28"/>
        </w:rPr>
        <w:t> </w:t>
      </w:r>
    </w:p>
    <w:p w14:paraId="6362CD60" w14:textId="77777777" w:rsidR="00332EFF" w:rsidRDefault="00332EFF" w:rsidP="00332EFF">
      <w:pPr>
        <w:jc w:val="both"/>
        <w:rPr>
          <w:rFonts w:ascii="Arial" w:hAnsi="Arial" w:cs="Arial"/>
          <w:sz w:val="28"/>
          <w:szCs w:val="28"/>
        </w:rPr>
      </w:pPr>
      <w:r w:rsidRPr="00332EFF">
        <w:rPr>
          <w:rFonts w:ascii="Arial" w:hAnsi="Arial" w:cs="Arial"/>
          <w:sz w:val="28"/>
          <w:szCs w:val="28"/>
        </w:rPr>
        <w:t>7. Cuentas por pagar</w:t>
      </w:r>
    </w:p>
    <w:p w14:paraId="4190FFFE" w14:textId="77777777" w:rsidR="00332EFF" w:rsidRPr="00332EFF" w:rsidRDefault="00332EFF" w:rsidP="00332EFF">
      <w:pPr>
        <w:jc w:val="both"/>
        <w:rPr>
          <w:rFonts w:ascii="Arial" w:hAnsi="Arial" w:cs="Arial"/>
          <w:sz w:val="28"/>
          <w:szCs w:val="28"/>
        </w:rPr>
      </w:pPr>
    </w:p>
    <w:p w14:paraId="6BACA584" w14:textId="2041272F" w:rsidR="00684E23" w:rsidRPr="00332EFF" w:rsidRDefault="00332EFF" w:rsidP="00332EFF">
      <w:pPr>
        <w:pStyle w:val="Prrafodelista"/>
        <w:numPr>
          <w:ilvl w:val="0"/>
          <w:numId w:val="21"/>
        </w:numPr>
        <w:jc w:val="both"/>
        <w:rPr>
          <w:rFonts w:ascii="Arial" w:hAnsi="Arial" w:cs="Arial"/>
          <w:sz w:val="28"/>
          <w:szCs w:val="28"/>
        </w:rPr>
      </w:pPr>
      <w:r w:rsidRPr="00332EFF">
        <w:rPr>
          <w:rFonts w:ascii="Arial" w:hAnsi="Arial" w:cs="Arial"/>
          <w:sz w:val="28"/>
          <w:szCs w:val="28"/>
        </w:rPr>
        <w:t xml:space="preserve">Las cuentas por pagar se mantuvieron en niveles similares al ejercicio anterior, lo que refleja un control adecuado de los </w:t>
      </w:r>
      <w:r w:rsidRPr="00332EFF">
        <w:rPr>
          <w:rFonts w:ascii="Arial" w:hAnsi="Arial" w:cs="Arial"/>
          <w:sz w:val="28"/>
          <w:szCs w:val="28"/>
        </w:rPr>
        <w:lastRenderedPageBreak/>
        <w:t>compromisos financieros y evita un crecimiento desmedido del pasivo.</w:t>
      </w:r>
    </w:p>
    <w:p w14:paraId="50D84051" w14:textId="77777777" w:rsidR="00684E23" w:rsidRDefault="00684E23" w:rsidP="00524D74">
      <w:pPr>
        <w:rPr>
          <w:rFonts w:ascii="Arial" w:hAnsi="Arial" w:cs="Arial"/>
          <w:sz w:val="28"/>
          <w:szCs w:val="28"/>
        </w:rPr>
      </w:pPr>
    </w:p>
    <w:bookmarkEnd w:id="0"/>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8AB7B7B"/>
    <w:multiLevelType w:val="hybridMultilevel"/>
    <w:tmpl w:val="EBB04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5E3708D"/>
    <w:multiLevelType w:val="hybridMultilevel"/>
    <w:tmpl w:val="5DE49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FD1A4C"/>
    <w:multiLevelType w:val="hybridMultilevel"/>
    <w:tmpl w:val="E570A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4"/>
  </w:num>
  <w:num w:numId="5">
    <w:abstractNumId w:val="8"/>
  </w:num>
  <w:num w:numId="6">
    <w:abstractNumId w:val="21"/>
  </w:num>
  <w:num w:numId="7">
    <w:abstractNumId w:val="12"/>
  </w:num>
  <w:num w:numId="8">
    <w:abstractNumId w:val="15"/>
  </w:num>
  <w:num w:numId="9">
    <w:abstractNumId w:val="18"/>
  </w:num>
  <w:num w:numId="10">
    <w:abstractNumId w:val="6"/>
  </w:num>
  <w:num w:numId="11">
    <w:abstractNumId w:val="11"/>
  </w:num>
  <w:num w:numId="12">
    <w:abstractNumId w:val="0"/>
  </w:num>
  <w:num w:numId="13">
    <w:abstractNumId w:val="9"/>
  </w:num>
  <w:num w:numId="14">
    <w:abstractNumId w:val="20"/>
  </w:num>
  <w:num w:numId="15">
    <w:abstractNumId w:val="19"/>
  </w:num>
  <w:num w:numId="16">
    <w:abstractNumId w:val="22"/>
  </w:num>
  <w:num w:numId="17">
    <w:abstractNumId w:val="5"/>
  </w:num>
  <w:num w:numId="18">
    <w:abstractNumId w:val="14"/>
  </w:num>
  <w:num w:numId="19">
    <w:abstractNumId w:val="1"/>
  </w:num>
  <w:num w:numId="20">
    <w:abstractNumId w:val="13"/>
  </w:num>
  <w:num w:numId="21">
    <w:abstractNumId w:val="23"/>
  </w:num>
  <w:num w:numId="22">
    <w:abstractNumId w:val="2"/>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2EFF"/>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5F5EDF"/>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BCF55-1EAE-4147-A280-863632213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568</Words>
  <Characters>3129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2025-03-31T21:58:00Z</dcterms:created>
  <dcterms:modified xsi:type="dcterms:W3CDTF">2025-03-31T22:20:00Z</dcterms:modified>
</cp:coreProperties>
</file>