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8589BD" w:rsidR="00EA29FA" w:rsidRPr="00C60FD1" w:rsidRDefault="003A06A1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F02EAB">
        <w:rPr>
          <w:rFonts w:ascii="Arial" w:hAnsi="Arial" w:cs="Arial"/>
          <w:b/>
          <w:sz w:val="22"/>
          <w:lang w:val="es-ES"/>
        </w:rPr>
        <w:t>3</w:t>
      </w:r>
      <w:r w:rsidR="005142A7">
        <w:rPr>
          <w:rFonts w:ascii="Arial" w:hAnsi="Arial" w:cs="Arial"/>
          <w:b/>
          <w:sz w:val="22"/>
          <w:lang w:val="es-ES"/>
        </w:rPr>
        <w:t>37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AD21B3E" w:rsidR="00703B09" w:rsidRDefault="00F02EA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4F685D">
        <w:rPr>
          <w:rFonts w:ascii="Arial" w:hAnsi="Arial" w:cs="Arial"/>
          <w:sz w:val="22"/>
          <w:lang w:val="es-ES"/>
        </w:rPr>
        <w:t xml:space="preserve">9 </w:t>
      </w:r>
      <w:r w:rsidR="005C2BF7">
        <w:rPr>
          <w:rFonts w:ascii="Arial" w:hAnsi="Arial" w:cs="Arial"/>
          <w:sz w:val="22"/>
          <w:lang w:val="es-ES"/>
        </w:rPr>
        <w:t>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68B092" w14:textId="4B705308" w:rsidR="00944005" w:rsidRPr="00944005" w:rsidRDefault="00944005" w:rsidP="00BF6FA5">
      <w:pPr>
        <w:pStyle w:val="Sinespaciado"/>
        <w:jc w:val="center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1"/>
          <w:rFonts w:ascii="Arial" w:hAnsi="Arial" w:cs="Arial"/>
          <w:sz w:val="28"/>
          <w:szCs w:val="28"/>
        </w:rPr>
        <w:t>MEJORA S&amp;P GLOBAL RATINGS</w:t>
      </w:r>
    </w:p>
    <w:p w14:paraId="4F4AC6C0" w14:textId="77777777" w:rsidR="00944005" w:rsidRPr="00944005" w:rsidRDefault="00944005" w:rsidP="00BF6FA5">
      <w:pPr>
        <w:pStyle w:val="Sinespaciado"/>
        <w:jc w:val="center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1"/>
          <w:rFonts w:ascii="Arial" w:hAnsi="Arial" w:cs="Arial"/>
          <w:sz w:val="28"/>
          <w:szCs w:val="28"/>
        </w:rPr>
        <w:t>LA CALIFICACIÓN CREDITICIA DE NUEVO LEÓN</w:t>
      </w:r>
    </w:p>
    <w:p w14:paraId="02B79B4E" w14:textId="2F2E3F23" w:rsidR="00944005" w:rsidRPr="00944005" w:rsidRDefault="00944005" w:rsidP="00BF6FA5">
      <w:pPr>
        <w:pStyle w:val="Sinespaciado"/>
        <w:jc w:val="center"/>
        <w:divId w:val="1025328803"/>
        <w:rPr>
          <w:rFonts w:ascii="Arial" w:hAnsi="Arial" w:cs="Arial"/>
          <w:sz w:val="28"/>
          <w:szCs w:val="28"/>
        </w:rPr>
      </w:pPr>
    </w:p>
    <w:p w14:paraId="58CDB3DC" w14:textId="4D9F1038" w:rsidR="00944005" w:rsidRPr="00BF6FA5" w:rsidRDefault="00944005" w:rsidP="00BF6FA5">
      <w:pPr>
        <w:pStyle w:val="Sinespaciado"/>
        <w:numPr>
          <w:ilvl w:val="0"/>
          <w:numId w:val="26"/>
        </w:numPr>
        <w:jc w:val="both"/>
        <w:divId w:val="1025328803"/>
        <w:rPr>
          <w:rFonts w:ascii="Arial" w:hAnsi="Arial" w:cs="Arial"/>
        </w:rPr>
      </w:pPr>
      <w:r w:rsidRPr="00BF6FA5">
        <w:rPr>
          <w:rStyle w:val="s3"/>
          <w:rFonts w:ascii="Arial" w:hAnsi="Arial" w:cs="Arial"/>
          <w:sz w:val="24"/>
          <w:szCs w:val="24"/>
        </w:rPr>
        <w:t>Subió de ‘mxA’ a ‘mxA+’ y ratificó la perspectiva “Estable”.</w:t>
      </w:r>
    </w:p>
    <w:p w14:paraId="6679E56D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 </w:t>
      </w:r>
    </w:p>
    <w:p w14:paraId="6D6363A8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.</w:t>
      </w:r>
    </w:p>
    <w:p w14:paraId="18F314CD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1"/>
          <w:rFonts w:ascii="Arial" w:hAnsi="Arial" w:cs="Arial"/>
          <w:sz w:val="28"/>
          <w:szCs w:val="28"/>
        </w:rPr>
        <w:t>Monterrey, N. L.-</w:t>
      </w:r>
      <w:r w:rsidRPr="00944005">
        <w:rPr>
          <w:rStyle w:val="s2"/>
          <w:rFonts w:ascii="Arial" w:hAnsi="Arial" w:cs="Arial"/>
          <w:sz w:val="28"/>
          <w:szCs w:val="28"/>
        </w:rPr>
        <w:t xml:space="preserve"> Con base en las eficientes medidas de control de ingresos y gastos, así como el acuerdo entre el Ejecutivo y el Legislativo que permitió la aprobación del Paquete Fiscal 2025, la agencia S&amp;P Global Ratings mejoró su calificación crediticia a Nuevo León, con perspectiva “Estable”. La calificación crediticia de Nuevo León como emisor de largo plazo en escala nacional –</w:t>
      </w:r>
      <w:proofErr w:type="spellStart"/>
      <w:r w:rsidRPr="00944005">
        <w:rPr>
          <w:rStyle w:val="s2"/>
          <w:rFonts w:ascii="Arial" w:hAnsi="Arial" w:cs="Arial"/>
          <w:sz w:val="28"/>
          <w:szCs w:val="28"/>
        </w:rPr>
        <w:t>CaVal</w:t>
      </w:r>
      <w:proofErr w:type="spellEnd"/>
      <w:r w:rsidRPr="00944005">
        <w:rPr>
          <w:rStyle w:val="s2"/>
          <w:rFonts w:ascii="Arial" w:hAnsi="Arial" w:cs="Arial"/>
          <w:sz w:val="28"/>
          <w:szCs w:val="28"/>
        </w:rPr>
        <w:t>– pasó de ‘mxA’ a ‘mxA+’.</w:t>
      </w:r>
    </w:p>
    <w:p w14:paraId="4071BE2F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 </w:t>
      </w:r>
    </w:p>
    <w:p w14:paraId="6699F660" w14:textId="48C6636C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 xml:space="preserve">La calificadora dio a conocer un comunicado en el que informó que el </w:t>
      </w:r>
      <w:proofErr w:type="gramStart"/>
      <w:r w:rsidRPr="00944005">
        <w:rPr>
          <w:rStyle w:val="s2"/>
          <w:rFonts w:ascii="Arial" w:hAnsi="Arial" w:cs="Arial"/>
          <w:sz w:val="28"/>
          <w:szCs w:val="28"/>
        </w:rPr>
        <w:t>alza</w:t>
      </w:r>
      <w:proofErr w:type="gramEnd"/>
      <w:r w:rsidRPr="00944005">
        <w:rPr>
          <w:rStyle w:val="s2"/>
          <w:rFonts w:ascii="Arial" w:hAnsi="Arial" w:cs="Arial"/>
          <w:sz w:val="28"/>
          <w:szCs w:val="28"/>
        </w:rPr>
        <w:t xml:space="preserve"> de la calificación “refleja nuestra expectativa de que el perfil financiero de Nuevo León continúe registrando ganancias estructurales en los resultados presupuestales, impulsadas por </w:t>
      </w:r>
      <w:r w:rsidR="00BF6FA5">
        <w:rPr>
          <w:rStyle w:val="s2"/>
          <w:rFonts w:ascii="Arial" w:hAnsi="Arial" w:cs="Arial"/>
          <w:sz w:val="28"/>
          <w:szCs w:val="28"/>
        </w:rPr>
        <w:t>sus medidas</w:t>
      </w:r>
      <w:r w:rsidRPr="00944005">
        <w:rPr>
          <w:rStyle w:val="s2"/>
          <w:rFonts w:ascii="Arial" w:hAnsi="Arial" w:cs="Arial"/>
          <w:sz w:val="28"/>
          <w:szCs w:val="28"/>
        </w:rPr>
        <w:t xml:space="preserve"> eficientes de ingresos y control del gasto. Esto, a su vez, permitiría una reducción de la carga de la deuda en relación con los ingresos operativos, así como una disminución gradual de la dependencia del Estado de la deuda a corto plazo en los próximos años”.</w:t>
      </w:r>
    </w:p>
    <w:p w14:paraId="3B8DB0E5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 </w:t>
      </w:r>
    </w:p>
    <w:p w14:paraId="45C809DF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Añadió que “también refleja la sofisticada gestión financiera del Estado, que ha sido capaz de mantener políticas presupuestarias sólidas a pesar de los cambios de gobierno.</w:t>
      </w:r>
      <w:r w:rsidRPr="009440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62F9132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</w:p>
    <w:p w14:paraId="09E1F532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También se abordó un traspaso presupuestario sin precedentes del presupuesto de 2023 a los de 2024 y 2025: se enfrentó a retrasos y oposición al discutir los dos presupuestos pasados en el Congreso”.</w:t>
      </w:r>
    </w:p>
    <w:p w14:paraId="3C884453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lastRenderedPageBreak/>
        <w:t> </w:t>
      </w:r>
    </w:p>
    <w:p w14:paraId="52B1F0BA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Como parte del proceso de aprobación del presupuesto de 2025 -señaló la calificadora en su comunicado-, “la administración acordó reanudar el desembolso de fondos a los municipios. También acordó centrarse una vez más en completar los proyectos de capital en curso, aunque pospuso un plan de infraestructura más ambicioso.</w:t>
      </w:r>
      <w:r w:rsidRPr="00944005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F6D01D7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</w:p>
    <w:p w14:paraId="21362B27" w14:textId="77777777" w:rsidR="00887857" w:rsidRDefault="00944005" w:rsidP="00944005">
      <w:pPr>
        <w:pStyle w:val="Sinespaciado"/>
        <w:jc w:val="both"/>
        <w:divId w:val="1025328803"/>
        <w:rPr>
          <w:rStyle w:val="s2"/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Esto supone una reducción del endeudamiento neto durante los próximos tres años”,</w:t>
      </w:r>
      <w:r w:rsidR="00887857">
        <w:rPr>
          <w:rFonts w:ascii="Arial" w:hAnsi="Arial" w:cs="Arial"/>
          <w:sz w:val="28"/>
          <w:szCs w:val="28"/>
        </w:rPr>
        <w:t xml:space="preserve"> </w:t>
      </w:r>
      <w:r w:rsidRPr="00944005">
        <w:rPr>
          <w:rStyle w:val="s2"/>
          <w:rFonts w:ascii="Arial" w:hAnsi="Arial" w:cs="Arial"/>
          <w:sz w:val="28"/>
          <w:szCs w:val="28"/>
        </w:rPr>
        <w:t xml:space="preserve">S&amp;P Global Ratings advirtió sobre las actuales condiciones en la relación de México con Estados Unidos. </w:t>
      </w:r>
    </w:p>
    <w:p w14:paraId="5C205BB1" w14:textId="77777777" w:rsidR="00887857" w:rsidRDefault="00887857" w:rsidP="00944005">
      <w:pPr>
        <w:pStyle w:val="Sinespaciado"/>
        <w:jc w:val="both"/>
        <w:divId w:val="1025328803"/>
        <w:rPr>
          <w:rStyle w:val="s2"/>
          <w:rFonts w:ascii="Arial" w:hAnsi="Arial" w:cs="Arial"/>
          <w:sz w:val="28"/>
          <w:szCs w:val="28"/>
        </w:rPr>
      </w:pPr>
    </w:p>
    <w:p w14:paraId="7AAC2DAB" w14:textId="36224791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 xml:space="preserve">“Nuevo León está altamente expuesto a la continua incertidumbre comercial y de inversión. En </w:t>
      </w:r>
      <w:proofErr w:type="spellStart"/>
      <w:r w:rsidRPr="00944005">
        <w:rPr>
          <w:rStyle w:val="s2"/>
          <w:rFonts w:ascii="Arial" w:hAnsi="Arial" w:cs="Arial"/>
          <w:sz w:val="28"/>
          <w:szCs w:val="28"/>
        </w:rPr>
        <w:t>losúltimos</w:t>
      </w:r>
      <w:proofErr w:type="spellEnd"/>
      <w:r w:rsidRPr="00944005">
        <w:rPr>
          <w:rStyle w:val="s2"/>
          <w:rFonts w:ascii="Arial" w:hAnsi="Arial" w:cs="Arial"/>
          <w:sz w:val="28"/>
          <w:szCs w:val="28"/>
        </w:rPr>
        <w:t xml:space="preserve"> años, había sido uno de los candidatos más prometedores para beneficiarse de las tendencias de deslocalización, gracias a su proximidad y conectividad con Estados Unidos, su sólida infraestructura y su capital humano. Sin embargo, este panorama ha cambiado con el reciente cambio en las políticas comerciales entre México y Estados Unidos.Dada la importancia de la industria automotriz en Nuevo León, consideramos que la economía delEstado está altamente expuesta a los aranceles de Estados Unidos”.</w:t>
      </w:r>
    </w:p>
    <w:p w14:paraId="3A60F4C1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 </w:t>
      </w:r>
    </w:p>
    <w:p w14:paraId="349A5EB7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Indicó que, a pesar del riesgo de un menor crecimiento económico nacional, “el dinamismo económico pasado de Nuevo León le ha permitido hacer crecer su PIB per cápita, y ahora tiene una de las cifras de PIB per cápita más altas entre los estados mexicanos. La cifra estimada para 2024, justo por debajo de los US$25,000, es sustancialmente mayor que la cifra nacional, de US$13,000. Además, Nuevo León tiene una tasa de pobreza mucho menor (16% en 2022) que el promedio nacional (36%), empleos y salarios de mayor calidad y menor informalidad laboral”.</w:t>
      </w:r>
    </w:p>
    <w:p w14:paraId="21305AB7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> </w:t>
      </w:r>
    </w:p>
    <w:p w14:paraId="5714D5DA" w14:textId="77777777" w:rsidR="00944005" w:rsidRPr="00944005" w:rsidRDefault="00944005" w:rsidP="00944005">
      <w:pPr>
        <w:pStyle w:val="Sinespaciado"/>
        <w:jc w:val="both"/>
        <w:divId w:val="1025328803"/>
        <w:rPr>
          <w:rFonts w:ascii="Arial" w:hAnsi="Arial" w:cs="Arial"/>
          <w:sz w:val="28"/>
          <w:szCs w:val="28"/>
        </w:rPr>
      </w:pPr>
      <w:r w:rsidRPr="00944005">
        <w:rPr>
          <w:rStyle w:val="s2"/>
          <w:rFonts w:ascii="Arial" w:hAnsi="Arial" w:cs="Arial"/>
          <w:sz w:val="28"/>
          <w:szCs w:val="28"/>
        </w:rPr>
        <w:t xml:space="preserve">Acerca de la perspectiva “Estable”, la agencia apuntó en que “supone que, a pesar de la marcada incertidumbre respecto a la política </w:t>
      </w:r>
      <w:r w:rsidRPr="00944005">
        <w:rPr>
          <w:rStyle w:val="s2"/>
          <w:rFonts w:ascii="Arial" w:hAnsi="Arial" w:cs="Arial"/>
          <w:sz w:val="28"/>
          <w:szCs w:val="28"/>
        </w:rPr>
        <w:lastRenderedPageBreak/>
        <w:t>comercial y la próxima renegociación del Tratado entre México, Estados Unidos y Canadá, las mejoras en el desempeño presupuestal y la gestión de la deuda de Nuevo León serán resilientes. También supone que se contendrá cualquier posible resurgimiento de obstáculos políticos a la aprobación de presupuestos en el Congreso local”.</w:t>
      </w:r>
    </w:p>
    <w:p w14:paraId="58E77CA9" w14:textId="7742B00C" w:rsidR="00CB37F3" w:rsidRPr="00B073CC" w:rsidRDefault="00CB37F3" w:rsidP="00944005">
      <w:pPr>
        <w:pStyle w:val="Sinespaciado"/>
        <w:jc w:val="center"/>
        <w:divId w:val="810754906"/>
        <w:rPr>
          <w:rFonts w:ascii="-webkit-standard" w:hAnsi="-webkit-standard" w:cs="Times New Roman" w:hint="eastAsia"/>
          <w:b/>
          <w:bCs/>
          <w:sz w:val="28"/>
          <w:szCs w:val="28"/>
        </w:rPr>
      </w:pPr>
    </w:p>
    <w:sectPr w:rsidR="00CB37F3" w:rsidRPr="00B073C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3D4F3" w14:textId="77777777" w:rsidR="00EB72B4" w:rsidRDefault="00EB72B4" w:rsidP="00E83348">
      <w:r>
        <w:separator/>
      </w:r>
    </w:p>
  </w:endnote>
  <w:endnote w:type="continuationSeparator" w:id="0">
    <w:p w14:paraId="46D3B5F3" w14:textId="77777777" w:rsidR="00EB72B4" w:rsidRDefault="00EB72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63E645" w14:textId="77777777" w:rsidR="00EB72B4" w:rsidRDefault="00EB72B4" w:rsidP="00E83348">
      <w:r>
        <w:separator/>
      </w:r>
    </w:p>
  </w:footnote>
  <w:footnote w:type="continuationSeparator" w:id="0">
    <w:p w14:paraId="73223129" w14:textId="77777777" w:rsidR="00EB72B4" w:rsidRDefault="00EB72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90375"/>
    <w:multiLevelType w:val="hybridMultilevel"/>
    <w:tmpl w:val="9A563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4DE5"/>
    <w:multiLevelType w:val="hybridMultilevel"/>
    <w:tmpl w:val="34BA4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72160"/>
    <w:multiLevelType w:val="hybridMultilevel"/>
    <w:tmpl w:val="1B2A8A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8F7DAD"/>
    <w:multiLevelType w:val="hybridMultilevel"/>
    <w:tmpl w:val="66A2E9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48B12DB"/>
    <w:multiLevelType w:val="hybridMultilevel"/>
    <w:tmpl w:val="3028C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9252D"/>
    <w:multiLevelType w:val="hybridMultilevel"/>
    <w:tmpl w:val="19EE2F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5"/>
  </w:num>
  <w:num w:numId="5">
    <w:abstractNumId w:val="10"/>
  </w:num>
  <w:num w:numId="6">
    <w:abstractNumId w:val="22"/>
  </w:num>
  <w:num w:numId="7">
    <w:abstractNumId w:val="15"/>
  </w:num>
  <w:num w:numId="8">
    <w:abstractNumId w:val="17"/>
  </w:num>
  <w:num w:numId="9">
    <w:abstractNumId w:val="19"/>
  </w:num>
  <w:num w:numId="10">
    <w:abstractNumId w:val="7"/>
  </w:num>
  <w:num w:numId="11">
    <w:abstractNumId w:val="13"/>
  </w:num>
  <w:num w:numId="12">
    <w:abstractNumId w:val="1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6"/>
  </w:num>
  <w:num w:numId="18">
    <w:abstractNumId w:val="16"/>
  </w:num>
  <w:num w:numId="19">
    <w:abstractNumId w:val="24"/>
  </w:num>
  <w:num w:numId="20">
    <w:abstractNumId w:val="3"/>
  </w:num>
  <w:num w:numId="21">
    <w:abstractNumId w:val="12"/>
  </w:num>
  <w:num w:numId="22">
    <w:abstractNumId w:val="9"/>
  </w:num>
  <w:num w:numId="23">
    <w:abstractNumId w:val="0"/>
  </w:num>
  <w:num w:numId="24">
    <w:abstractNumId w:val="25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50D9"/>
    <w:rsid w:val="000061C6"/>
    <w:rsid w:val="000110A3"/>
    <w:rsid w:val="00012AAD"/>
    <w:rsid w:val="00021D24"/>
    <w:rsid w:val="00025FC4"/>
    <w:rsid w:val="00027E9E"/>
    <w:rsid w:val="00027F11"/>
    <w:rsid w:val="0003107D"/>
    <w:rsid w:val="00031799"/>
    <w:rsid w:val="00034ED5"/>
    <w:rsid w:val="0004426E"/>
    <w:rsid w:val="000543D9"/>
    <w:rsid w:val="000607E0"/>
    <w:rsid w:val="000648AE"/>
    <w:rsid w:val="00066CFC"/>
    <w:rsid w:val="00067260"/>
    <w:rsid w:val="0007260F"/>
    <w:rsid w:val="000727FA"/>
    <w:rsid w:val="000A00B6"/>
    <w:rsid w:val="000A1946"/>
    <w:rsid w:val="000A2D9C"/>
    <w:rsid w:val="000A3FB6"/>
    <w:rsid w:val="000A4DA6"/>
    <w:rsid w:val="000B2F61"/>
    <w:rsid w:val="000D643B"/>
    <w:rsid w:val="000E599E"/>
    <w:rsid w:val="000E5F86"/>
    <w:rsid w:val="000E75FC"/>
    <w:rsid w:val="000E7FE2"/>
    <w:rsid w:val="000F2A3A"/>
    <w:rsid w:val="000F2EAD"/>
    <w:rsid w:val="000F7EA6"/>
    <w:rsid w:val="0010008A"/>
    <w:rsid w:val="001019A3"/>
    <w:rsid w:val="001049EB"/>
    <w:rsid w:val="0010528B"/>
    <w:rsid w:val="00115911"/>
    <w:rsid w:val="0013386D"/>
    <w:rsid w:val="00136A02"/>
    <w:rsid w:val="00143D7A"/>
    <w:rsid w:val="00143F61"/>
    <w:rsid w:val="001464B2"/>
    <w:rsid w:val="001545DF"/>
    <w:rsid w:val="00154CB9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78AC"/>
    <w:rsid w:val="002E5D52"/>
    <w:rsid w:val="002F14B9"/>
    <w:rsid w:val="002F2006"/>
    <w:rsid w:val="00302722"/>
    <w:rsid w:val="00302854"/>
    <w:rsid w:val="0030520B"/>
    <w:rsid w:val="0030738E"/>
    <w:rsid w:val="003101B3"/>
    <w:rsid w:val="003336A3"/>
    <w:rsid w:val="0033501C"/>
    <w:rsid w:val="003501A5"/>
    <w:rsid w:val="00351898"/>
    <w:rsid w:val="00361ECA"/>
    <w:rsid w:val="00365F40"/>
    <w:rsid w:val="0037731A"/>
    <w:rsid w:val="0037755B"/>
    <w:rsid w:val="003828CB"/>
    <w:rsid w:val="00383108"/>
    <w:rsid w:val="003844BF"/>
    <w:rsid w:val="003A06A1"/>
    <w:rsid w:val="003A33FB"/>
    <w:rsid w:val="003A62D0"/>
    <w:rsid w:val="003B12B6"/>
    <w:rsid w:val="003B7C6F"/>
    <w:rsid w:val="003C65BA"/>
    <w:rsid w:val="003C750E"/>
    <w:rsid w:val="003D1190"/>
    <w:rsid w:val="003E3485"/>
    <w:rsid w:val="003E3946"/>
    <w:rsid w:val="003F11AF"/>
    <w:rsid w:val="003F50E0"/>
    <w:rsid w:val="003F69C0"/>
    <w:rsid w:val="003F6D38"/>
    <w:rsid w:val="00407CE3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4F685D"/>
    <w:rsid w:val="00501FC2"/>
    <w:rsid w:val="005142A7"/>
    <w:rsid w:val="00530E91"/>
    <w:rsid w:val="005418C6"/>
    <w:rsid w:val="00545740"/>
    <w:rsid w:val="005542AB"/>
    <w:rsid w:val="00561A6A"/>
    <w:rsid w:val="005634BE"/>
    <w:rsid w:val="005649BC"/>
    <w:rsid w:val="00580ABF"/>
    <w:rsid w:val="00580E7B"/>
    <w:rsid w:val="00582ACA"/>
    <w:rsid w:val="00586C20"/>
    <w:rsid w:val="00592F61"/>
    <w:rsid w:val="00595AA0"/>
    <w:rsid w:val="005A6904"/>
    <w:rsid w:val="005B246F"/>
    <w:rsid w:val="005C1539"/>
    <w:rsid w:val="005C2BF7"/>
    <w:rsid w:val="005C4837"/>
    <w:rsid w:val="005E0077"/>
    <w:rsid w:val="005E3CC4"/>
    <w:rsid w:val="005F49F8"/>
    <w:rsid w:val="00605A6B"/>
    <w:rsid w:val="006152C6"/>
    <w:rsid w:val="00625AAC"/>
    <w:rsid w:val="006273DD"/>
    <w:rsid w:val="006322FA"/>
    <w:rsid w:val="00632A06"/>
    <w:rsid w:val="00635D12"/>
    <w:rsid w:val="00637B54"/>
    <w:rsid w:val="006426DD"/>
    <w:rsid w:val="00644FE5"/>
    <w:rsid w:val="006512FD"/>
    <w:rsid w:val="006519A8"/>
    <w:rsid w:val="00653915"/>
    <w:rsid w:val="00670EB3"/>
    <w:rsid w:val="006816C5"/>
    <w:rsid w:val="0068304E"/>
    <w:rsid w:val="006862CD"/>
    <w:rsid w:val="006955DB"/>
    <w:rsid w:val="006B4960"/>
    <w:rsid w:val="006C139B"/>
    <w:rsid w:val="006C4920"/>
    <w:rsid w:val="006F7468"/>
    <w:rsid w:val="007023CA"/>
    <w:rsid w:val="007033A2"/>
    <w:rsid w:val="007033AA"/>
    <w:rsid w:val="00703B09"/>
    <w:rsid w:val="00703CAE"/>
    <w:rsid w:val="00703D40"/>
    <w:rsid w:val="00703F31"/>
    <w:rsid w:val="007127AD"/>
    <w:rsid w:val="007164AD"/>
    <w:rsid w:val="007212EC"/>
    <w:rsid w:val="00742AF4"/>
    <w:rsid w:val="007550C7"/>
    <w:rsid w:val="0076120C"/>
    <w:rsid w:val="00761883"/>
    <w:rsid w:val="0078005E"/>
    <w:rsid w:val="007809B4"/>
    <w:rsid w:val="00781054"/>
    <w:rsid w:val="00792C0F"/>
    <w:rsid w:val="00796BEE"/>
    <w:rsid w:val="007A5418"/>
    <w:rsid w:val="007B067E"/>
    <w:rsid w:val="007B0B7F"/>
    <w:rsid w:val="007B3E62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001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87857"/>
    <w:rsid w:val="008916A8"/>
    <w:rsid w:val="008927AA"/>
    <w:rsid w:val="008951A1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2734A"/>
    <w:rsid w:val="00942455"/>
    <w:rsid w:val="00944005"/>
    <w:rsid w:val="0094474A"/>
    <w:rsid w:val="00956686"/>
    <w:rsid w:val="00956CE4"/>
    <w:rsid w:val="0096389E"/>
    <w:rsid w:val="009652C7"/>
    <w:rsid w:val="00971AEA"/>
    <w:rsid w:val="00975477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513"/>
    <w:rsid w:val="009E05D5"/>
    <w:rsid w:val="009E55A6"/>
    <w:rsid w:val="00A04CDB"/>
    <w:rsid w:val="00A05501"/>
    <w:rsid w:val="00A16AFD"/>
    <w:rsid w:val="00A17EFA"/>
    <w:rsid w:val="00A22E89"/>
    <w:rsid w:val="00A23A57"/>
    <w:rsid w:val="00A6713F"/>
    <w:rsid w:val="00A67C2C"/>
    <w:rsid w:val="00A705CA"/>
    <w:rsid w:val="00A707DC"/>
    <w:rsid w:val="00A70F16"/>
    <w:rsid w:val="00A74DD6"/>
    <w:rsid w:val="00A8033B"/>
    <w:rsid w:val="00A87621"/>
    <w:rsid w:val="00A95809"/>
    <w:rsid w:val="00AA6D55"/>
    <w:rsid w:val="00AC61EA"/>
    <w:rsid w:val="00AD06C4"/>
    <w:rsid w:val="00AE7D6B"/>
    <w:rsid w:val="00AF03DD"/>
    <w:rsid w:val="00B01173"/>
    <w:rsid w:val="00B06482"/>
    <w:rsid w:val="00B073CC"/>
    <w:rsid w:val="00B16EC6"/>
    <w:rsid w:val="00B17C77"/>
    <w:rsid w:val="00B20134"/>
    <w:rsid w:val="00B20EC6"/>
    <w:rsid w:val="00B3787D"/>
    <w:rsid w:val="00B4275A"/>
    <w:rsid w:val="00B646E2"/>
    <w:rsid w:val="00B717D0"/>
    <w:rsid w:val="00B72928"/>
    <w:rsid w:val="00B85451"/>
    <w:rsid w:val="00B939AB"/>
    <w:rsid w:val="00BA2CCA"/>
    <w:rsid w:val="00BA3080"/>
    <w:rsid w:val="00BA575F"/>
    <w:rsid w:val="00BB790F"/>
    <w:rsid w:val="00BC1011"/>
    <w:rsid w:val="00BC31AB"/>
    <w:rsid w:val="00BD4455"/>
    <w:rsid w:val="00BD53A6"/>
    <w:rsid w:val="00BE252C"/>
    <w:rsid w:val="00BF6FA5"/>
    <w:rsid w:val="00C04E44"/>
    <w:rsid w:val="00C076B0"/>
    <w:rsid w:val="00C10575"/>
    <w:rsid w:val="00C11B03"/>
    <w:rsid w:val="00C147D7"/>
    <w:rsid w:val="00C154B1"/>
    <w:rsid w:val="00C402FB"/>
    <w:rsid w:val="00C44009"/>
    <w:rsid w:val="00C443E3"/>
    <w:rsid w:val="00C44A92"/>
    <w:rsid w:val="00C44E98"/>
    <w:rsid w:val="00C47865"/>
    <w:rsid w:val="00C52672"/>
    <w:rsid w:val="00C61FC4"/>
    <w:rsid w:val="00C639F7"/>
    <w:rsid w:val="00C674B7"/>
    <w:rsid w:val="00C730BD"/>
    <w:rsid w:val="00C82FD2"/>
    <w:rsid w:val="00C90637"/>
    <w:rsid w:val="00C955EB"/>
    <w:rsid w:val="00CA29D0"/>
    <w:rsid w:val="00CB09E1"/>
    <w:rsid w:val="00CB116B"/>
    <w:rsid w:val="00CB37F3"/>
    <w:rsid w:val="00CB5CFF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35BE"/>
    <w:rsid w:val="00DC11C2"/>
    <w:rsid w:val="00DC2841"/>
    <w:rsid w:val="00DC39E5"/>
    <w:rsid w:val="00DC6848"/>
    <w:rsid w:val="00DD683C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2AAB"/>
    <w:rsid w:val="00E82020"/>
    <w:rsid w:val="00E83348"/>
    <w:rsid w:val="00E846FF"/>
    <w:rsid w:val="00E9212A"/>
    <w:rsid w:val="00E92581"/>
    <w:rsid w:val="00E93E9E"/>
    <w:rsid w:val="00EA29FA"/>
    <w:rsid w:val="00EA3DAA"/>
    <w:rsid w:val="00EA49EE"/>
    <w:rsid w:val="00EB72B4"/>
    <w:rsid w:val="00EC762B"/>
    <w:rsid w:val="00ED11F7"/>
    <w:rsid w:val="00EE125E"/>
    <w:rsid w:val="00EF0F4A"/>
    <w:rsid w:val="00EF6FEE"/>
    <w:rsid w:val="00F02EAB"/>
    <w:rsid w:val="00F23CE8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DD683C"/>
    <w:rPr>
      <w:lang w:val="es-MX"/>
    </w:rPr>
  </w:style>
  <w:style w:type="paragraph" w:customStyle="1" w:styleId="s8">
    <w:name w:val="s8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EA3DAA"/>
  </w:style>
  <w:style w:type="character" w:customStyle="1" w:styleId="apple-converted-space">
    <w:name w:val="apple-converted-space"/>
    <w:basedOn w:val="Fuentedeprrafopredeter"/>
    <w:rsid w:val="00EA3DAA"/>
  </w:style>
  <w:style w:type="paragraph" w:customStyle="1" w:styleId="s10">
    <w:name w:val="s10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2">
    <w:name w:val="s12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4">
    <w:name w:val="s14"/>
    <w:basedOn w:val="Normal"/>
    <w:rsid w:val="00EA3DA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p1">
    <w:name w:val="p1"/>
    <w:basedOn w:val="Normal"/>
    <w:rsid w:val="00AE7D6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E7D6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AE7D6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AE7D6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paragraph" w:customStyle="1" w:styleId="p2">
    <w:name w:val="p2"/>
    <w:basedOn w:val="Normal"/>
    <w:rsid w:val="00944005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F4ECD8-BCF5-4C1F-B61E-26CD53DE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2</cp:revision>
  <cp:lastPrinted>2016-10-21T20:06:00Z</cp:lastPrinted>
  <dcterms:created xsi:type="dcterms:W3CDTF">2025-03-19T14:01:00Z</dcterms:created>
  <dcterms:modified xsi:type="dcterms:W3CDTF">2025-03-19T14:01:00Z</dcterms:modified>
</cp:coreProperties>
</file>