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7DB3" w14:textId="77777777" w:rsidR="00E7366A" w:rsidRDefault="00E7366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4D2C97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7366A">
        <w:rPr>
          <w:rFonts w:ascii="Arial" w:hAnsi="Arial" w:cs="Arial"/>
          <w:b/>
          <w:sz w:val="22"/>
        </w:rPr>
        <w:t>2602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2F29175" w:rsidR="00710292" w:rsidRDefault="00E7366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398C757" w:rsidR="00D52E68" w:rsidRPr="00E7366A" w:rsidRDefault="00E7366A" w:rsidP="00E7366A">
      <w:pPr>
        <w:jc w:val="center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ENTREGA EL GOBIERNO DEL ESTADO </w:t>
      </w:r>
      <w:r w:rsidRPr="00E7366A">
        <w:rPr>
          <w:rFonts w:ascii="Arial" w:hAnsi="Arial" w:cs="Arial"/>
          <w:b/>
          <w:sz w:val="28"/>
          <w:lang w:val="es-ES"/>
        </w:rPr>
        <w:t>AL LEG</w:t>
      </w:r>
      <w:r>
        <w:rPr>
          <w:rFonts w:ascii="Arial" w:hAnsi="Arial" w:cs="Arial"/>
          <w:b/>
          <w:sz w:val="28"/>
          <w:lang w:val="es-ES"/>
        </w:rPr>
        <w:t>ISLATIVO EL PAQUETE FISCAL 2025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7D7E0E89" w:rsidR="00D52E68" w:rsidRPr="005D12C9" w:rsidRDefault="00E7366A" w:rsidP="00E7366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E7366A">
        <w:rPr>
          <w:rFonts w:ascii="Arial" w:hAnsi="Arial" w:cs="Arial"/>
          <w:i/>
          <w:lang w:val="es-ES"/>
        </w:rPr>
        <w:t>El presupuesto de Egresos que se propone</w:t>
      </w:r>
      <w:r>
        <w:rPr>
          <w:rFonts w:ascii="Arial" w:hAnsi="Arial" w:cs="Arial"/>
          <w:i/>
          <w:lang w:val="es-ES"/>
        </w:rPr>
        <w:t xml:space="preserve"> </w:t>
      </w:r>
      <w:r w:rsidRPr="00E7366A">
        <w:rPr>
          <w:rFonts w:ascii="Arial" w:hAnsi="Arial" w:cs="Arial"/>
          <w:i/>
          <w:lang w:val="es-ES"/>
        </w:rPr>
        <w:t>asciende a 152 mil 164 millones de pesos.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D212426" w14:textId="77777777" w:rsidR="00E7366A" w:rsidRPr="00E7366A" w:rsidRDefault="00D52E68" w:rsidP="00E7366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7366A" w:rsidRPr="00E7366A">
        <w:rPr>
          <w:rFonts w:ascii="Arial" w:hAnsi="Arial" w:cs="Arial"/>
          <w:sz w:val="28"/>
          <w:szCs w:val="28"/>
        </w:rPr>
        <w:t>El Gobierno del Estado entregó al Poder Legislativo el Paquete Fiscal para el ejercicio 2025, que propone un Presupuesto de 152 mil 164 millones de pesos (</w:t>
      </w:r>
      <w:proofErr w:type="spellStart"/>
      <w:r w:rsidR="00E7366A" w:rsidRPr="00E7366A">
        <w:rPr>
          <w:rFonts w:ascii="Arial" w:hAnsi="Arial" w:cs="Arial"/>
          <w:sz w:val="28"/>
          <w:szCs w:val="28"/>
        </w:rPr>
        <w:t>mdp</w:t>
      </w:r>
      <w:proofErr w:type="spellEnd"/>
      <w:r w:rsidR="00E7366A" w:rsidRPr="00E7366A">
        <w:rPr>
          <w:rFonts w:ascii="Arial" w:hAnsi="Arial" w:cs="Arial"/>
          <w:sz w:val="28"/>
          <w:szCs w:val="28"/>
        </w:rPr>
        <w:t xml:space="preserve">), cantidad 6.4 por ciento superior a la iniciativa correspondiente al año anterior, excluyendo el financiamiento de largo plazo. </w:t>
      </w:r>
    </w:p>
    <w:p w14:paraId="2B74B736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37A555FB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Una vez incluido el financiamiento de largo plazo de hasta 17 mil 560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solicitado en una iniciativa por separado y en el que se especifica que el destino de esos recursos sería inversión pública productiva, el crecimiento del presupuesto sería de 8.8 por ciento.</w:t>
      </w:r>
    </w:p>
    <w:p w14:paraId="5CE03CF9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218FFE8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Con la representación del Poder Ejecutivo, el Secretario de Finanzas y Tesorero General del Estado, Carlos Garza Ibarra, acudió a la sede legislativa, en donde entregó los documentos a la Presidenta de la Comisión de Presupuesto, Ivonne Álvarez y coordinador de las bancadas. </w:t>
      </w:r>
    </w:p>
    <w:p w14:paraId="2C24C50F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19A88A85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En el acto, el Secretario de Finanzas hizo un reconocimiento a los legisladores y legisladoras, por su disposición al diálogo y a participar en encuentros previos en los que conocieron los principales puntos del Paquete Fiscal, siempre con la intención de lograr acuerdos que </w:t>
      </w:r>
      <w:r w:rsidRPr="00E7366A">
        <w:rPr>
          <w:rFonts w:ascii="Arial" w:hAnsi="Arial" w:cs="Arial"/>
          <w:sz w:val="28"/>
          <w:szCs w:val="28"/>
        </w:rPr>
        <w:lastRenderedPageBreak/>
        <w:t>coadyuven a mejorar el nivel de bienestar de la población e impulsen el desarrollo de Nuevo León.</w:t>
      </w:r>
    </w:p>
    <w:p w14:paraId="71D6E163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5B918155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Algunos aspectos relevantes del Paquete Fiscal 2024 son los siguientes:</w:t>
      </w:r>
    </w:p>
    <w:p w14:paraId="53694687" w14:textId="1139711E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08C38D13" w14:textId="3DFEF882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E7366A">
        <w:rPr>
          <w:rFonts w:ascii="Arial" w:hAnsi="Arial" w:cs="Arial"/>
          <w:sz w:val="28"/>
          <w:szCs w:val="28"/>
        </w:rPr>
        <w:t>En 2025 no habrá nuevos impuestos. En contraste, se realizarán acciones administrativas que permitirán fortalecer los ingresos tributarios, tales como actos de fiscalización, cobranza y eficiencia recaudatoria.</w:t>
      </w:r>
    </w:p>
    <w:p w14:paraId="5107D82F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prevé un total de ingresos propios de 34,123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alcanzando un crecimiento de 8.9 por ciento respecto a 2024, es decir, 2,799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más.</w:t>
      </w:r>
    </w:p>
    <w:p w14:paraId="34FD6B73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El Impuesto sobre Nóminas aumenta un 7.2 por ciento respecto al 2024, ubicándose en 17,572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790FF596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estima que la recaudación de impuestos ecológicos crecerá 7.1 por ciento, lo cual implica 195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adicionales respecto al ejercicio anterior.</w:t>
      </w:r>
    </w:p>
    <w:p w14:paraId="744D8163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En materia vehicular, se propone continuar con el Programa Ponlo a tu Nombre, el cual otorga el beneficio a los ciudadanos de regularizar el registro de sus vehículos de manera eficiente y a un bajo costo, contribuyendo al mismo tiempo a la actualización del padrón vehicular y fortaleciendo de esta manera el control y seguridad sobre los automóviles en circulación.</w:t>
      </w:r>
    </w:p>
    <w:p w14:paraId="5C69A395" w14:textId="12083856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E7366A">
        <w:rPr>
          <w:rFonts w:ascii="Arial" w:hAnsi="Arial" w:cs="Arial"/>
          <w:sz w:val="28"/>
          <w:szCs w:val="28"/>
        </w:rPr>
        <w:t xml:space="preserve">De acuerdo con las estimaciones del Gobierno Federal, las participaciones federales aumentan un 8.1 por ciento, al pasar de 64,097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en el 2024 a 69,268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en 2025.</w:t>
      </w:r>
    </w:p>
    <w:p w14:paraId="5BB56544" w14:textId="299D4271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atender los daños de la infraestructura causados por la tormenta tropical “Alberto” y continuar con la ejecución de obras el proceso como la construcción y ampliación de las Líneas 4 y 6 del Metro, la carretera </w:t>
      </w:r>
      <w:proofErr w:type="spellStart"/>
      <w:r w:rsidRPr="00E7366A">
        <w:rPr>
          <w:rFonts w:ascii="Arial" w:hAnsi="Arial" w:cs="Arial"/>
          <w:sz w:val="28"/>
          <w:szCs w:val="28"/>
        </w:rPr>
        <w:t>Interserrana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la carretera La Gloria-Colombia, entre otros proyectos relacionados con el sector de movilidad, se propone la adquisición de financiamiento neto de largo plazo por 13,334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conforme al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Techo de Financiamiento Neto disponible del 15% de los Ingresos de Libre </w:t>
      </w:r>
      <w:r w:rsidRPr="00E7366A">
        <w:rPr>
          <w:rFonts w:ascii="Arial" w:hAnsi="Arial" w:cs="Arial"/>
          <w:sz w:val="28"/>
          <w:szCs w:val="28"/>
        </w:rPr>
        <w:lastRenderedPageBreak/>
        <w:t xml:space="preserve">Disposición y una vez pagadas las amortizaciones por 4,227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acceder a un financiamiento total por dicha cantidad. </w:t>
      </w:r>
    </w:p>
    <w:p w14:paraId="58FACF3F" w14:textId="110ABC00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Con el objetivo de lograr mejores condiciones en los pasivos bancarios, se propone el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refinanciamiento por 5,869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en las cuales se incluyen financiamientos con fuente de pago de ingresos locales y el 25 por ciento del Fondo de Aportaciones para el Fortalecimiento de las Entidades Federativas.</w:t>
      </w:r>
    </w:p>
    <w:p w14:paraId="28ED9328" w14:textId="63F7D7F2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Con el fin de realizar acciones de mejoramiento de la red de drenaje, concluir el proyecto de la Presa La Libertad, el proyecto Monterrey V y otros proyectos relacionados con el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abastecimiento de agua en el Estado, se propone la contratación de un financiamiento de2,184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Servicios de Agua y Drenaje de Monterrey.</w:t>
      </w:r>
    </w:p>
    <w:p w14:paraId="3D333541" w14:textId="2B39C0E4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Con la finalidad de mejorar las condiciones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financieras de los organismos se plantea el refinanciamiento de la deuda pública vigente por parte de por parte de Servicios de Agua y Drenaje de Monterrey I.P.D. (SADM), Red Estatal de Autopistas (REA), Sistema de Transporte Colectivo </w:t>
      </w:r>
      <w:proofErr w:type="spellStart"/>
      <w:r w:rsidRPr="00E7366A">
        <w:rPr>
          <w:rFonts w:ascii="Arial" w:hAnsi="Arial" w:cs="Arial"/>
          <w:sz w:val="28"/>
          <w:szCs w:val="28"/>
        </w:rPr>
        <w:t>Metrorrey</w:t>
      </w:r>
      <w:proofErr w:type="spellEnd"/>
      <w:r w:rsidRPr="00E7366A">
        <w:rPr>
          <w:rFonts w:ascii="Arial" w:hAnsi="Arial" w:cs="Arial"/>
          <w:sz w:val="28"/>
          <w:szCs w:val="28"/>
        </w:rPr>
        <w:t>, así como del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>Instituto de Control Vehicular.</w:t>
      </w:r>
    </w:p>
    <w:p w14:paraId="708EE2A4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En materia de Movilidad Sustentable, para lograr una mayor eficiencia, accesibilidad y asequibilidad, se requiere la incorporación de nuevas unidades de transporte, de la manera financiera más eficiente, como lo es el arrendamiento de hasta 2,500 unidades.</w:t>
      </w:r>
    </w:p>
    <w:p w14:paraId="34999A3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Debido al crecimiento poblacional de los últimos años de la Entidad, es necesario contar con una mayor infraestructura educativa para atender la demanda; por lo anterior, se solicita permitir a las entidades paraestatales y al Estado destinar sus ingresos estatales como fuente de pago de los proyectos plurianuales de Construcción de Escuelas.</w:t>
      </w:r>
    </w:p>
    <w:p w14:paraId="03BE653C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3A3E712F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Adicionalmente, algunas de las principales acciones que llevará a cabo el Gobierno del nuevo </w:t>
      </w:r>
      <w:proofErr w:type="spellStart"/>
      <w:r w:rsidRPr="00E7366A">
        <w:rPr>
          <w:rFonts w:ascii="Arial" w:hAnsi="Arial" w:cs="Arial"/>
          <w:sz w:val="28"/>
          <w:szCs w:val="28"/>
        </w:rPr>
        <w:t>Nuevo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León en el Ejercicio Fiscal 2025, a través de los tres gabinetes que lo componen, son las siguientes:</w:t>
      </w:r>
    </w:p>
    <w:p w14:paraId="0888EF5F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</w:p>
    <w:p w14:paraId="061DE999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</w:p>
    <w:p w14:paraId="0853B415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lastRenderedPageBreak/>
        <w:t>Gabinete de Igualdad para todas las Personas</w:t>
      </w:r>
    </w:p>
    <w:p w14:paraId="69941E46" w14:textId="7D8F8CBC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El presupuesto destinado para Educación es de 50,293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lo que representa un incremento de 6.6 por ciento respecto a la iniciativa 2024 presentada, equival</w:t>
      </w:r>
      <w:r>
        <w:rPr>
          <w:rFonts w:ascii="Arial" w:hAnsi="Arial" w:cs="Arial"/>
          <w:sz w:val="28"/>
          <w:szCs w:val="28"/>
        </w:rPr>
        <w:t xml:space="preserve">ente a un aumento de 3,131 </w:t>
      </w:r>
      <w:proofErr w:type="spellStart"/>
      <w:r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725A5A30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mejorar la infraestructura estatal educativa se destinarán Recursos Federales del Fondo de Aportaciones Múltiples (FAM) por 1,079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los niveles básico, medio superior y superior.</w:t>
      </w:r>
    </w:p>
    <w:p w14:paraId="0F42DFD2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propone destinar recursos de inversión estatal para Construcción de Escuelas por 439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139142D9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consideran recursos de 309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apoyo a estudiantes de escasos recursos mediante becas, alimento, otorgamiento de mochilas y útiles escolares, uniformes y calzado.</w:t>
      </w:r>
    </w:p>
    <w:p w14:paraId="46BE4437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incluyen 245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programa de Escuelas de Tiempo Completo, equivalentes a un aumento de 5.7 por ciento.</w:t>
      </w:r>
    </w:p>
    <w:p w14:paraId="53FC3BC5" w14:textId="1BB350F8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El programa de E</w:t>
      </w:r>
      <w:r>
        <w:rPr>
          <w:rFonts w:ascii="Arial" w:hAnsi="Arial" w:cs="Arial"/>
          <w:sz w:val="28"/>
          <w:szCs w:val="28"/>
        </w:rPr>
        <w:t xml:space="preserve">ducación Dual contempla 30 </w:t>
      </w:r>
      <w:proofErr w:type="spellStart"/>
      <w:r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E7366A">
        <w:rPr>
          <w:rFonts w:ascii="Arial" w:hAnsi="Arial" w:cs="Arial"/>
          <w:sz w:val="28"/>
          <w:szCs w:val="28"/>
        </w:rPr>
        <w:t> </w:t>
      </w:r>
    </w:p>
    <w:p w14:paraId="71623B62" w14:textId="39B3347D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Al Sector Salud se destina un presupuesto de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9,280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de los cuales 4,199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>corresponden a recursos estatales, con un incremento de 5.6 por ciento respecto al 2024, desta</w:t>
      </w:r>
      <w:r>
        <w:rPr>
          <w:rFonts w:ascii="Arial" w:hAnsi="Arial" w:cs="Arial"/>
          <w:sz w:val="28"/>
          <w:szCs w:val="28"/>
        </w:rPr>
        <w:t>cando los siguientes proyectos:</w:t>
      </w:r>
      <w:r w:rsidRPr="00E7366A">
        <w:rPr>
          <w:rFonts w:ascii="Arial" w:hAnsi="Arial" w:cs="Arial"/>
          <w:sz w:val="28"/>
          <w:szCs w:val="28"/>
        </w:rPr>
        <w:t> </w:t>
      </w:r>
    </w:p>
    <w:p w14:paraId="608D02C7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633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como contraparte estatal para el programa de Gratuidad de Servicios de Salud, Medicamentos e Insumos (GRASESAMI).</w:t>
      </w:r>
    </w:p>
    <w:p w14:paraId="1CB086F4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asignan 400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 construcción del Hospital Infantil.</w:t>
      </w:r>
    </w:p>
    <w:p w14:paraId="3B35FF61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el programa de Atención de Niños y Mujeres con Cáncer se destinan 400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20010314" w14:textId="0D74B609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Para el programa Có</w:t>
      </w:r>
      <w:r>
        <w:rPr>
          <w:rFonts w:ascii="Arial" w:hAnsi="Arial" w:cs="Arial"/>
          <w:sz w:val="28"/>
          <w:szCs w:val="28"/>
        </w:rPr>
        <w:t xml:space="preserve">digo Infarto se asignan 50 </w:t>
      </w:r>
      <w:proofErr w:type="spellStart"/>
      <w:r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E7366A">
        <w:rPr>
          <w:rFonts w:ascii="Arial" w:hAnsi="Arial" w:cs="Arial"/>
          <w:sz w:val="28"/>
          <w:szCs w:val="28"/>
        </w:rPr>
        <w:t> </w:t>
      </w:r>
    </w:p>
    <w:p w14:paraId="63BDF380" w14:textId="33945D75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programas de Protección Social se incluyen, entre </w:t>
      </w:r>
      <w:r>
        <w:rPr>
          <w:rFonts w:ascii="Arial" w:hAnsi="Arial" w:cs="Arial"/>
          <w:sz w:val="28"/>
          <w:szCs w:val="28"/>
        </w:rPr>
        <w:t>otras, las siguientes acciones:</w:t>
      </w:r>
    </w:p>
    <w:p w14:paraId="09336539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Los recursos asignados al programa de “Hambre Cero” pasan de 244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a 417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representando un incremento de 71.0 por ciento respecto al 2024, el cual busca combatir la pobreza alimentaria y garantizar el acceso a una alimentación adecuada para todos los ciudadanos.</w:t>
      </w:r>
    </w:p>
    <w:p w14:paraId="13BEE884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lastRenderedPageBreak/>
        <w:t xml:space="preserve">* Se impulsa el apoyo a las Organizaciones de la Sociedad Civil (OSC) por 229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y a los Bomberos y la Cruz Roja por 88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1DEADB42" w14:textId="4FD56B11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pretende invertir 223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en obras de infraestructura social mediante el Fondo de Infraestructura Social para las Entidades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>(FISE).</w:t>
      </w:r>
    </w:p>
    <w:p w14:paraId="55EA3B82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renovará el compromiso con la Primera Infancia ofreciendo una atención y cuidado de primer nivel a todos los niños y niñas en Nuevo León a través de programas como Estancias Infantiles, lo anterior con una asignación de 153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15F9BD7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El presupuesto estatal para programas culturales y deportivos asciende a 159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representado un incremento de 29.0 por ciento respecto al 2024, incluyendo 40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proyectos de Esferas Culturales.</w:t>
      </w:r>
    </w:p>
    <w:p w14:paraId="28E69D3B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consideran apoyos por 147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las Personas con Discapacidad.</w:t>
      </w:r>
    </w:p>
    <w:p w14:paraId="322AA4D8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destinan 121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programas de inclusión para mujeres jefas de familia y violencia contra la mujer.</w:t>
      </w:r>
    </w:p>
    <w:p w14:paraId="2902C617" w14:textId="4938424D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Para la conclusión de proyecto de rehabilitación de Capullos y el Centro de Atención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Infantil (CAI) en Allende, se proponen 105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6A762F1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destinan 62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a los programas Búsqueda de Personas y Apoyos a Hijos de Personas Desaparecidas.</w:t>
      </w:r>
    </w:p>
    <w:p w14:paraId="52F9F4F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contemplan 52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programas relacionados con protección animal.</w:t>
      </w:r>
    </w:p>
    <w:p w14:paraId="2F0B1092" w14:textId="21CE65A3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incluyen 18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 xml:space="preserve"> para la Defensoría de Mujeres.</w:t>
      </w:r>
    </w:p>
    <w:p w14:paraId="56876CE8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el 2025 se planea destinar 263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proyecto de Parque del Agua.</w:t>
      </w:r>
    </w:p>
    <w:p w14:paraId="44007CC1" w14:textId="5DD2268C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1BEBE06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</w:p>
    <w:p w14:paraId="478868E3" w14:textId="3618CDDD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Gabinete de G</w:t>
      </w:r>
      <w:r>
        <w:rPr>
          <w:rFonts w:ascii="Arial" w:hAnsi="Arial" w:cs="Arial"/>
          <w:sz w:val="28"/>
          <w:szCs w:val="28"/>
        </w:rPr>
        <w:t>eneración de Riqueza Sostenible</w:t>
      </w:r>
    </w:p>
    <w:p w14:paraId="572CB3CA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la construcción de las Líneas 4 y 6 del Metro se pretende destinar recursos de inversión por 13,000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mientras que para la ampliación de las mismas Líneas 4 y 6 se asignan 3,174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68FA38BA" w14:textId="0E546130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lastRenderedPageBreak/>
        <w:t xml:space="preserve">* Se asignarán 1,617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 construcción de la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Carretera </w:t>
      </w:r>
      <w:proofErr w:type="spellStart"/>
      <w:r w:rsidRPr="00E7366A">
        <w:rPr>
          <w:rFonts w:ascii="Arial" w:hAnsi="Arial" w:cs="Arial"/>
          <w:sz w:val="28"/>
          <w:szCs w:val="28"/>
        </w:rPr>
        <w:t>Interserrana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625F2A6F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otorgarán 926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 Modernización y Mantenimiento del Metro.</w:t>
      </w:r>
    </w:p>
    <w:p w14:paraId="77EBCF9E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plantea asignar un monto de 306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proyecto plurianual de la construcción del Libramiento Pesquería-Juárez.</w:t>
      </w:r>
    </w:p>
    <w:p w14:paraId="2C88E4CC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destinarán 292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concluir la construcción de la Carretera La Gloria-Colombia.</w:t>
      </w:r>
    </w:p>
    <w:p w14:paraId="1ABE3E74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presupuestan 200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desarrollo de empresas en el Estado, mediante el Fondo de Apoyo para la Creación y Consolidación del Empleo Productivo (FOCRECE), logrando potenciar más de 4,000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créditos a Micro, Pequeñas y Medianas Empresas (MIPYMES).</w:t>
      </w:r>
    </w:p>
    <w:p w14:paraId="552D0F4A" w14:textId="3A3918D8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asignan 64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 conclusión del proyecto de modernización y ampliación de las vi</w:t>
      </w:r>
      <w:r>
        <w:rPr>
          <w:rFonts w:ascii="Arial" w:hAnsi="Arial" w:cs="Arial"/>
          <w:sz w:val="28"/>
          <w:szCs w:val="28"/>
        </w:rPr>
        <w:t>alidades de la Aduana Colombia.</w:t>
      </w:r>
    </w:p>
    <w:p w14:paraId="3CB075B5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destinan 1,000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gasto de operación del Instituto de Movilidad y Accesibilidad del Estado para continuar con el servicio de transporte público urbano.</w:t>
      </w:r>
    </w:p>
    <w:p w14:paraId="58A062D7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la reconstrucción por los daños ocasionados por la tormenta “Alberto” se destinan recursos por 881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1BFCB3E4" w14:textId="5621206A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proponen 300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proyecto de la presa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 xml:space="preserve">Segunda </w:t>
      </w:r>
      <w:proofErr w:type="spellStart"/>
      <w:r w:rsidRPr="00E7366A">
        <w:rPr>
          <w:rFonts w:ascii="Arial" w:hAnsi="Arial" w:cs="Arial"/>
          <w:sz w:val="28"/>
          <w:szCs w:val="28"/>
        </w:rPr>
        <w:t>Rompepicos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488DE6E1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destinan 48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la construcción de Corredores Verdes.</w:t>
      </w:r>
    </w:p>
    <w:p w14:paraId="06DF104C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 </w:t>
      </w:r>
    </w:p>
    <w:p w14:paraId="44977715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</w:p>
    <w:p w14:paraId="01C02963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</w:p>
    <w:p w14:paraId="35E5A924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Gabinete de Buen Gobierno</w:t>
      </w:r>
    </w:p>
    <w:p w14:paraId="1F609021" w14:textId="650F1DD3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designan 19,519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los sectores de Seguridad y Justicia los cuales significan 906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adicionales con respecto al 2024, equivalentes a un increment</w:t>
      </w:r>
      <w:r>
        <w:rPr>
          <w:rFonts w:ascii="Arial" w:hAnsi="Arial" w:cs="Arial"/>
          <w:sz w:val="28"/>
          <w:szCs w:val="28"/>
        </w:rPr>
        <w:t>o de 4.9 por ciento:</w:t>
      </w:r>
    </w:p>
    <w:p w14:paraId="56860340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lastRenderedPageBreak/>
        <w:t xml:space="preserve">* Se asigna un presupuesto de 716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diversa infraestructura y suministro y equipamiento de seguridad, así como la construcción del Nuevo Edificio de Seguridad.</w:t>
      </w:r>
    </w:p>
    <w:p w14:paraId="6E37901B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A través del Fondo de Aportaciones para la Seguridad Pública (FASP) se pretenden ejercer 679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. </w:t>
      </w:r>
    </w:p>
    <w:p w14:paraId="64A03E30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Se contempla un presupuesto de 219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continuar con las obras de ampliación del Campo Policial 1 de Fuerza Civil, así como la construcción del Campo 2 en Guadalupe y el Campo 3 en Montemorelos.</w:t>
      </w:r>
    </w:p>
    <w:p w14:paraId="727EA44E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Para continuar con la remodelación y rehabilitación de los penales de Cadereyta y Apodaca se destinarán 140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.</w:t>
      </w:r>
    </w:p>
    <w:p w14:paraId="7F72419D" w14:textId="4FE56244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Por medio del Fondo para el Fortalecimiento de las Instituciones de Seguridad Pública (FOFISP) se tiene presupuestado 124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>para mejoramiento de la seguridad estatal.</w:t>
      </w:r>
    </w:p>
    <w:p w14:paraId="4B621D90" w14:textId="4E45DAAF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>* Para la Atención a Víctimas y Violaciones de Derechos Humano</w:t>
      </w:r>
      <w:r>
        <w:rPr>
          <w:rFonts w:ascii="Arial" w:hAnsi="Arial" w:cs="Arial"/>
          <w:sz w:val="28"/>
          <w:szCs w:val="28"/>
        </w:rPr>
        <w:t xml:space="preserve">s se asigna un monto de 10 </w:t>
      </w:r>
      <w:proofErr w:type="spellStart"/>
      <w:r>
        <w:rPr>
          <w:rFonts w:ascii="Arial" w:hAnsi="Arial" w:cs="Arial"/>
          <w:sz w:val="28"/>
          <w:szCs w:val="28"/>
        </w:rPr>
        <w:t>mdp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E150A43" w14:textId="77777777" w:rsidR="00E7366A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En el 2023 se creó el Fideicomiso Iniciativas Sociales BP 9723 el cual corresponde al 1.0 por ciento del ISN recaudado, y para el ejercicio fiscal 2025 se contemplan 176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>, con el objetivo de financiar programas que mejoren la calidad de vida de los Neoloneses, que permitan resolver las causas estructurales de inseguridad y de violencia del Estado, fortalecer la movilidad social, las capacidades y desempeño de las organizaciones de la sociedad civil y mejorar las condiciones de paz y justicia del Estado.</w:t>
      </w:r>
    </w:p>
    <w:p w14:paraId="74C20475" w14:textId="77777777" w:rsid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En el Paquete Fiscal 2025 se estima un monto de 9,587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para el Poder Legislativo, el Poder Judicial y los Organismos Autónomos, es decir, un aumento de 471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y un crecimiento</w:t>
      </w:r>
      <w:r>
        <w:rPr>
          <w:rFonts w:ascii="Arial" w:hAnsi="Arial" w:cs="Arial"/>
          <w:sz w:val="28"/>
          <w:szCs w:val="28"/>
        </w:rPr>
        <w:t xml:space="preserve"> </w:t>
      </w:r>
      <w:r w:rsidRPr="00E7366A">
        <w:rPr>
          <w:rFonts w:ascii="Arial" w:hAnsi="Arial" w:cs="Arial"/>
          <w:sz w:val="28"/>
          <w:szCs w:val="28"/>
        </w:rPr>
        <w:t>de 5.6 por ciento respecto al ejercicio 2024 (exceptuando organismos electorales).</w:t>
      </w:r>
    </w:p>
    <w:p w14:paraId="7164CEFE" w14:textId="5231F570" w:rsidR="00D52E68" w:rsidRPr="00E7366A" w:rsidRDefault="00E7366A" w:rsidP="00E7366A">
      <w:pPr>
        <w:jc w:val="both"/>
        <w:rPr>
          <w:rFonts w:ascii="Arial" w:hAnsi="Arial" w:cs="Arial"/>
          <w:sz w:val="28"/>
          <w:szCs w:val="28"/>
        </w:rPr>
      </w:pPr>
      <w:r w:rsidRPr="00E7366A">
        <w:rPr>
          <w:rFonts w:ascii="Arial" w:hAnsi="Arial" w:cs="Arial"/>
          <w:sz w:val="28"/>
          <w:szCs w:val="28"/>
        </w:rPr>
        <w:t xml:space="preserve">* Por su parte, para los Municipios del Estado se prevé una asignación de 25,954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, el cual implica 1,941 </w:t>
      </w:r>
      <w:proofErr w:type="spellStart"/>
      <w:r w:rsidRPr="00E7366A">
        <w:rPr>
          <w:rFonts w:ascii="Arial" w:hAnsi="Arial" w:cs="Arial"/>
          <w:sz w:val="28"/>
          <w:szCs w:val="28"/>
        </w:rPr>
        <w:t>mdp</w:t>
      </w:r>
      <w:proofErr w:type="spellEnd"/>
      <w:r w:rsidRPr="00E7366A">
        <w:rPr>
          <w:rFonts w:ascii="Arial" w:hAnsi="Arial" w:cs="Arial"/>
          <w:sz w:val="28"/>
          <w:szCs w:val="28"/>
        </w:rPr>
        <w:t xml:space="preserve"> adicionales y un incremento de 8.1 por ciento respecto a la Iniciativa 2024.</w:t>
      </w:r>
    </w:p>
    <w:bookmarkEnd w:id="0"/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DDC2C" w14:textId="77777777" w:rsidR="004A2CCC" w:rsidRDefault="004A2CCC" w:rsidP="00FF7AF6">
      <w:r>
        <w:separator/>
      </w:r>
    </w:p>
  </w:endnote>
  <w:endnote w:type="continuationSeparator" w:id="0">
    <w:p w14:paraId="7C60C01A" w14:textId="77777777" w:rsidR="004A2CCC" w:rsidRDefault="004A2C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B289" w14:textId="77777777" w:rsidR="004A2CCC" w:rsidRDefault="004A2CCC" w:rsidP="00FF7AF6">
      <w:r>
        <w:separator/>
      </w:r>
    </w:p>
  </w:footnote>
  <w:footnote w:type="continuationSeparator" w:id="0">
    <w:p w14:paraId="76BA01A3" w14:textId="77777777" w:rsidR="004A2CCC" w:rsidRDefault="004A2C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A2CCC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A487C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366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1774</Words>
  <Characters>9760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2024-11-20T22:28:00Z</dcterms:created>
  <dcterms:modified xsi:type="dcterms:W3CDTF">2024-11-20T22:28:00Z</dcterms:modified>
</cp:coreProperties>
</file>