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07" w:rsidRDefault="00433F0E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CP/1112/2026</w:t>
      </w:r>
    </w:p>
    <w:p w:rsidR="008E2E07" w:rsidRDefault="00433F0E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 de agosto de 2026</w:t>
      </w:r>
    </w:p>
    <w:p w:rsidR="008E2E07" w:rsidRDefault="008E2E07">
      <w:pPr>
        <w:rPr>
          <w:rFonts w:ascii="Arial" w:eastAsia="Arial" w:hAnsi="Arial" w:cs="Arial"/>
          <w:sz w:val="22"/>
          <w:szCs w:val="22"/>
        </w:rPr>
      </w:pPr>
    </w:p>
    <w:p w:rsidR="008E2E07" w:rsidRDefault="00433F0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kt3cj7jf942m" w:colFirst="0" w:colLast="0"/>
      <w:bookmarkStart w:id="1" w:name="_GoBack"/>
      <w:bookmarkEnd w:id="0"/>
      <w:r>
        <w:rPr>
          <w:rFonts w:ascii="Arial" w:eastAsia="Arial" w:hAnsi="Arial" w:cs="Arial"/>
          <w:b/>
          <w:bCs/>
          <w:sz w:val="28"/>
          <w:szCs w:val="28"/>
        </w:rPr>
        <w:t>CRECEN 6.6% EXPORTACIONES DE VEHÍCULOS DE NUEVO LEÓN EN 2026</w:t>
      </w:r>
    </w:p>
    <w:bookmarkEnd w:id="1"/>
    <w:p w:rsidR="008E2E07" w:rsidRDefault="008E2E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iCs/>
        </w:rPr>
      </w:pPr>
    </w:p>
    <w:p w:rsidR="008E2E07" w:rsidRDefault="00433F0E">
      <w:pPr>
        <w:numPr>
          <w:ilvl w:val="0"/>
          <w:numId w:val="1"/>
        </w:numPr>
        <w:spacing w:line="331" w:lineRule="auto"/>
        <w:rPr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De enero a julio, Nuevo León exportó 153,661 vehículos, 6.6% más que en el mismo periodo de 2025.</w:t>
      </w:r>
    </w:p>
    <w:p w:rsidR="008E2E07" w:rsidRDefault="00433F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Las exportaciones de vehículos ligeros aumentaron 10.3% en los primeros siete meses del año.</w:t>
      </w:r>
    </w:p>
    <w:p w:rsidR="008E2E07" w:rsidRDefault="00433F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Tan solo en julio, las exportaciones de vehículos fabricados en el estado crecieron 18% anual.</w:t>
      </w:r>
    </w:p>
    <w:p w:rsidR="008E2E07" w:rsidRDefault="008E2E0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Monterrey, Nuevo León.- </w:t>
      </w:r>
      <w:r>
        <w:rPr>
          <w:rFonts w:ascii="Arial" w:eastAsia="Arial" w:hAnsi="Arial" w:cs="Arial"/>
          <w:sz w:val="28"/>
          <w:szCs w:val="28"/>
        </w:rPr>
        <w:t>La industria automotriz de Nuevo León mantu</w:t>
      </w:r>
      <w:r>
        <w:rPr>
          <w:rFonts w:ascii="Arial" w:eastAsia="Arial" w:hAnsi="Arial" w:cs="Arial"/>
          <w:sz w:val="28"/>
          <w:szCs w:val="28"/>
        </w:rPr>
        <w:t>vo su dinamismo durante 2026, al registrar un crecimiento de 6.6% en las exportaciones de vehículos entre enero y julio, en comparación con el mismo periodo del año anterior.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los primeros siete meses del año, de acuerdo con el Instituto Nacional de Estadística y Geografía (INEGI), las plantas instaladas en Nuevo León exportaron 153,661 unidades, frente a las 144,166 registradas durante el mismo periodo de 2025, lo que r</w:t>
      </w:r>
      <w:r>
        <w:rPr>
          <w:rFonts w:ascii="Arial" w:eastAsia="Arial" w:hAnsi="Arial" w:cs="Arial"/>
          <w:sz w:val="28"/>
          <w:szCs w:val="28"/>
        </w:rPr>
        <w:t>epresenta 9,495 vehículos adicionales enviados a los mercados internacionales.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crecimiento estuvo impulsado particularmente por los vehículos ligeros, cuyas exportaciones aumentaron 10.3%, al pasar de 122,407 unidades entre enero y julio de 2025 a 134,</w:t>
      </w:r>
      <w:r>
        <w:rPr>
          <w:rFonts w:ascii="Arial" w:eastAsia="Arial" w:hAnsi="Arial" w:cs="Arial"/>
          <w:sz w:val="28"/>
          <w:szCs w:val="28"/>
        </w:rPr>
        <w:t>986 unidades en el mismo periodo de 2026.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desempeño de julio también mostró una aceleración en la actividad exportadora. 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Durante ese mes, Nuevo León envió al exterior 20,387 vehículos, contra 17,282 en julio del año pasado, equivalente a un increment</w:t>
      </w:r>
      <w:r>
        <w:rPr>
          <w:rFonts w:ascii="Arial" w:eastAsia="Arial" w:hAnsi="Arial" w:cs="Arial"/>
          <w:sz w:val="28"/>
          <w:szCs w:val="28"/>
        </w:rPr>
        <w:t>o anual de 18%.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fortaleza exportadora se acompaña de un crecimiento en la manufactura automotriz. 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Entre enero y julio, Nuevo León produjo 199,854 vehículos, un incremento de 6.5% respecto al mismo periodo de 2025. Tan solo en julio, la producción alc</w:t>
      </w:r>
      <w:r>
        <w:rPr>
          <w:rFonts w:ascii="Arial" w:eastAsia="Arial" w:hAnsi="Arial" w:cs="Arial"/>
          <w:sz w:val="28"/>
          <w:szCs w:val="28"/>
        </w:rPr>
        <w:t>anzó 25,914 unidades, 23.8% más que un año antes.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Secretaria de Economía de Nuevo León, </w:t>
      </w:r>
      <w:proofErr w:type="spellStart"/>
      <w:r>
        <w:rPr>
          <w:rFonts w:ascii="Arial" w:eastAsia="Arial" w:hAnsi="Arial" w:cs="Arial"/>
          <w:sz w:val="28"/>
          <w:szCs w:val="28"/>
        </w:rPr>
        <w:t>Betsabé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Rocha, destacó que los resultados muestran la capacidad de la industria instalada en el estado para continuar creciendo y compitiendo en los mercados intern</w:t>
      </w:r>
      <w:r>
        <w:rPr>
          <w:rFonts w:ascii="Arial" w:eastAsia="Arial" w:hAnsi="Arial" w:cs="Arial"/>
          <w:sz w:val="28"/>
          <w:szCs w:val="28"/>
        </w:rPr>
        <w:t>acionales.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“Nuevo León cuenta con una industria automotriz sólida, altamente especializada y conectada con las cadenas globales de valor. El crecimiento de nuestras exportaciones confirma la confianza en lo que se fabrica en nuestro estado y en el talento</w:t>
      </w:r>
      <w:r>
        <w:rPr>
          <w:rFonts w:ascii="Arial" w:eastAsia="Arial" w:hAnsi="Arial" w:cs="Arial"/>
          <w:sz w:val="28"/>
          <w:szCs w:val="28"/>
        </w:rPr>
        <w:t xml:space="preserve"> de las y los nuevoleoneses que todos los días forman parte de esta industria”, dijo.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funcionaria agregó que la transformación tecnológica del sector abre nuevas oportunidades para fortalecer la posición de Nuevo León dentro de la industria automotriz </w:t>
      </w:r>
      <w:r>
        <w:rPr>
          <w:rFonts w:ascii="Arial" w:eastAsia="Arial" w:hAnsi="Arial" w:cs="Arial"/>
          <w:sz w:val="28"/>
          <w:szCs w:val="28"/>
        </w:rPr>
        <w:t xml:space="preserve">y avanzar hacia la </w:t>
      </w:r>
      <w:proofErr w:type="spellStart"/>
      <w:r>
        <w:rPr>
          <w:rFonts w:ascii="Arial" w:eastAsia="Arial" w:hAnsi="Arial" w:cs="Arial"/>
          <w:sz w:val="28"/>
          <w:szCs w:val="28"/>
        </w:rPr>
        <w:t>electromovilidad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 </w:t>
      </w: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“Estamos viendo cómo la industria automotriz de Nuevo León no solamente crece, sino que también evoluciona. La llegada de nuevos proyectos de </w:t>
      </w:r>
      <w:proofErr w:type="spellStart"/>
      <w:r>
        <w:rPr>
          <w:rFonts w:ascii="Arial" w:eastAsia="Arial" w:hAnsi="Arial" w:cs="Arial"/>
          <w:sz w:val="28"/>
          <w:szCs w:val="28"/>
        </w:rPr>
        <w:t>electromovilidad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demuestra que tenemos las condiciones, el talento y la cap</w:t>
      </w:r>
      <w:r>
        <w:rPr>
          <w:rFonts w:ascii="Arial" w:eastAsia="Arial" w:hAnsi="Arial" w:cs="Arial"/>
          <w:sz w:val="28"/>
          <w:szCs w:val="28"/>
        </w:rPr>
        <w:t>acidad industrial para fabricar desde Nuevo León los vehículos del futuro”, indicó Rocha.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Los resultados se suman al reciente anuncio de KIA México sobre la producción de su nuevo vehículo eléctrico en Nuevo León, que será fabricado en su planta de Pesque</w:t>
      </w:r>
      <w:r>
        <w:rPr>
          <w:rFonts w:ascii="Arial" w:eastAsia="Arial" w:hAnsi="Arial" w:cs="Arial"/>
          <w:sz w:val="28"/>
          <w:szCs w:val="28"/>
        </w:rPr>
        <w:t xml:space="preserve">ría, fortaleciendo el ecosistema de </w:t>
      </w:r>
      <w:proofErr w:type="spellStart"/>
      <w:r>
        <w:rPr>
          <w:rFonts w:ascii="Arial" w:eastAsia="Arial" w:hAnsi="Arial" w:cs="Arial"/>
          <w:sz w:val="28"/>
          <w:szCs w:val="28"/>
        </w:rPr>
        <w:lastRenderedPageBreak/>
        <w:t>electromovilidad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y la capacidad del estado para participar en la nueva generación de vehículos que demanda el mercado global.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AVANZA NUEVO LEÓN EN ESTRATEGIA PARA PROMOVER INVERSIÓN PRODUCTIVA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Con el objetivo de conti</w:t>
      </w:r>
      <w:r>
        <w:rPr>
          <w:rFonts w:ascii="Arial" w:eastAsia="Arial" w:hAnsi="Arial" w:cs="Arial"/>
          <w:sz w:val="28"/>
          <w:szCs w:val="28"/>
        </w:rPr>
        <w:t xml:space="preserve">nuar generando condiciones para atraer y consolidar inversión productiva, el Comité Promotor de Inversión de Nuevo León celebró su Segunda Sesión Ordinaria, con la participación de sus integrantes y autoridades de la Secretaría de Economía del Gobierno de </w:t>
      </w:r>
      <w:r>
        <w:rPr>
          <w:rFonts w:ascii="Arial" w:eastAsia="Arial" w:hAnsi="Arial" w:cs="Arial"/>
          <w:sz w:val="28"/>
          <w:szCs w:val="28"/>
        </w:rPr>
        <w:t>México.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Durante el encuentro,  María Ángela Ramírez </w:t>
      </w:r>
      <w:proofErr w:type="spellStart"/>
      <w:r>
        <w:rPr>
          <w:rFonts w:ascii="Arial" w:eastAsia="Arial" w:hAnsi="Arial" w:cs="Arial"/>
          <w:sz w:val="28"/>
          <w:szCs w:val="28"/>
        </w:rPr>
        <w:t>Zablah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Limón, coordinadora del Comité, presentó el Plan de Trabajo del Comité, que fue aprobado y se dio seguimiento a los acuerdos establecidos desde su instalación, avanzando en una agenda conjunta ent</w:t>
      </w:r>
      <w:r>
        <w:rPr>
          <w:rFonts w:ascii="Arial" w:eastAsia="Arial" w:hAnsi="Arial" w:cs="Arial"/>
          <w:sz w:val="28"/>
          <w:szCs w:val="28"/>
        </w:rPr>
        <w:t>re los sectores público y privado para fortalecer la competitividad y el desarrollo económico de Nuevo León.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Secretaria de Economía de Nuevo León, </w:t>
      </w:r>
      <w:proofErr w:type="spellStart"/>
      <w:r>
        <w:rPr>
          <w:rFonts w:ascii="Arial" w:eastAsia="Arial" w:hAnsi="Arial" w:cs="Arial"/>
          <w:sz w:val="28"/>
          <w:szCs w:val="28"/>
        </w:rPr>
        <w:t>Betsabé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Rocha, destacó que este mecanismo permite identificar directamente con el sector empresarial las necesidades y oportunidades que deben atenderse para facilitar nuevas inversiones y acompañar el crecimiento d</w:t>
      </w:r>
      <w:r>
        <w:rPr>
          <w:rFonts w:ascii="Arial" w:eastAsia="Arial" w:hAnsi="Arial" w:cs="Arial"/>
          <w:sz w:val="28"/>
          <w:szCs w:val="28"/>
        </w:rPr>
        <w:t>e las empresas que ya operan en la entidad.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“Queremos que Nuevo León siga siendo el mejor lugar para invertir y crecer. Este Comité nos permite sentarnos en una misma mesa gobierno y empresas, identificar qué necesitamos mejorar y convertir esas necesidad</w:t>
      </w:r>
      <w:r>
        <w:rPr>
          <w:rFonts w:ascii="Arial" w:eastAsia="Arial" w:hAnsi="Arial" w:cs="Arial"/>
          <w:sz w:val="28"/>
          <w:szCs w:val="28"/>
        </w:rPr>
        <w:t xml:space="preserve">es en acciones concretas que faciliten la inversión productiva y generen más oportunidades para nuestro estado”, dijo Rocha. 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Como parte de la sesión, representantes del sector empresarial presentaron propuestas para impulsar un modelo de sustitución de i</w:t>
      </w:r>
      <w:r>
        <w:rPr>
          <w:rFonts w:ascii="Arial" w:eastAsia="Arial" w:hAnsi="Arial" w:cs="Arial"/>
          <w:sz w:val="28"/>
          <w:szCs w:val="28"/>
        </w:rPr>
        <w:t>mportaciones y fortalecer la competitividad regional, además de abordar temas estratégicos relacionados con innovación, energía, logística y mejora regulatoria.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Estas líneas de trabajo buscan fortalecer las condiciones del ecosistema productivo de Nuevo L</w:t>
      </w:r>
      <w:r>
        <w:rPr>
          <w:rFonts w:ascii="Arial" w:eastAsia="Arial" w:hAnsi="Arial" w:cs="Arial"/>
          <w:sz w:val="28"/>
          <w:szCs w:val="28"/>
        </w:rPr>
        <w:t>eón, facilitar el desarrollo de nuevos proyectos y generar mayores oportunidades para que empresas locales puedan incorporarse a las cadenas de valor.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“La atracción de inversión también significa fortalecer lo que ya tenemos en Nuevo León,  y queremos que</w:t>
      </w:r>
      <w:r>
        <w:rPr>
          <w:rFonts w:ascii="Arial" w:eastAsia="Arial" w:hAnsi="Arial" w:cs="Arial"/>
          <w:sz w:val="28"/>
          <w:szCs w:val="28"/>
        </w:rPr>
        <w:t xml:space="preserve"> más empresas locales participen en las cadenas de suministro, que podamos sustituir estratégicamente importaciones y que las nuevas inversiones encuentren aquí proveedores, talento, infraestructura y las condiciones necesarias para desarrollarse”, agregó </w:t>
      </w:r>
      <w:r>
        <w:rPr>
          <w:rFonts w:ascii="Arial" w:eastAsia="Arial" w:hAnsi="Arial" w:cs="Arial"/>
          <w:sz w:val="28"/>
          <w:szCs w:val="28"/>
        </w:rPr>
        <w:t>la Secretaria.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Como siguiente paso, el Comité avanzará en la elaboración de un diagnóstico conjunto, en el que se integrarán las principales necesidades, propuestas y áreas de oportunidad identificadas por sus integrantes.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documento será remitido a la</w:t>
      </w:r>
      <w:r>
        <w:rPr>
          <w:rFonts w:ascii="Arial" w:eastAsia="Arial" w:hAnsi="Arial" w:cs="Arial"/>
          <w:sz w:val="28"/>
          <w:szCs w:val="28"/>
        </w:rPr>
        <w:t xml:space="preserve"> Secretaría de Economía federal, con el propósito de reforzar la coordinación interinstitucional y avanzar en acciones que contribuyan a la atracción, facilitación y consolidación de inversiones productivas en Nuevo León.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Comité Promotor de Inversión d</w:t>
      </w:r>
      <w:r>
        <w:rPr>
          <w:rFonts w:ascii="Arial" w:eastAsia="Arial" w:hAnsi="Arial" w:cs="Arial"/>
          <w:sz w:val="28"/>
          <w:szCs w:val="28"/>
        </w:rPr>
        <w:t xml:space="preserve">e Nuevo León forma parte de las acciones del Plan México y constituye un mecanismo de coordinación entre los gobiernos federal y estatal y el sector empresarial para impulsar la inversión productiva. 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Comité fue instalado formalmente el pasado 28 de ab</w:t>
      </w:r>
      <w:r>
        <w:rPr>
          <w:rFonts w:ascii="Arial" w:eastAsia="Arial" w:hAnsi="Arial" w:cs="Arial"/>
          <w:sz w:val="28"/>
          <w:szCs w:val="28"/>
        </w:rPr>
        <w:t>ril por el Gobernador Samuel García Sepúlveda y el Secretario de Economía del Gobierno de México, Marcelo Ebrard, y, conforme a lo establecido para su funcionamiento, deberá celebrar tres sesiones una vez instalado, dando continuidad a los proyectos y prop</w:t>
      </w:r>
      <w:r>
        <w:rPr>
          <w:rFonts w:ascii="Arial" w:eastAsia="Arial" w:hAnsi="Arial" w:cs="Arial"/>
          <w:sz w:val="28"/>
          <w:szCs w:val="28"/>
        </w:rPr>
        <w:t>uestas orientados a fortalecer la competitividad y la atracción de inversiones en Nuevo León.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 la Segunda Sesión asistieron </w:t>
      </w:r>
      <w:proofErr w:type="spellStart"/>
      <w:r>
        <w:rPr>
          <w:rFonts w:ascii="Arial" w:eastAsia="Arial" w:hAnsi="Arial" w:cs="Arial"/>
          <w:sz w:val="28"/>
          <w:szCs w:val="28"/>
        </w:rPr>
        <w:t>Betsabé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Rocha Nieto, Secretaria de Economía de Nuevo León; Eugenio Govea Arcos, representante de la Secretaría de Economía del Gob</w:t>
      </w:r>
      <w:r>
        <w:rPr>
          <w:rFonts w:ascii="Arial" w:eastAsia="Arial" w:hAnsi="Arial" w:cs="Arial"/>
          <w:sz w:val="28"/>
          <w:szCs w:val="28"/>
        </w:rPr>
        <w:t xml:space="preserve">ierno de México; Salvador Maese Barraza, de INDEX Mexicali; José del Valle, de la Oficina del Secretario de Economía federal, y Ana </w:t>
      </w:r>
      <w:proofErr w:type="spellStart"/>
      <w:r>
        <w:rPr>
          <w:rFonts w:ascii="Arial" w:eastAsia="Arial" w:hAnsi="Arial" w:cs="Arial"/>
          <w:sz w:val="28"/>
          <w:szCs w:val="28"/>
        </w:rPr>
        <w:t>Sleeman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de la Secretaría de Economía. 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Además de representantes del sector empresarial, entre ellos, Iván Torres, de </w:t>
      </w:r>
      <w:proofErr w:type="spellStart"/>
      <w:r>
        <w:rPr>
          <w:rFonts w:ascii="Arial" w:eastAsia="Arial" w:hAnsi="Arial" w:cs="Arial"/>
          <w:sz w:val="28"/>
          <w:szCs w:val="28"/>
        </w:rPr>
        <w:t>Arzyz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María José Treviño, de </w:t>
      </w:r>
      <w:proofErr w:type="spellStart"/>
      <w:r>
        <w:rPr>
          <w:rFonts w:ascii="Arial" w:eastAsia="Arial" w:hAnsi="Arial" w:cs="Arial"/>
          <w:sz w:val="28"/>
          <w:szCs w:val="28"/>
        </w:rPr>
        <w:t>Acclaim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Energy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México; Judith Garza Rangel, de </w:t>
      </w:r>
      <w:proofErr w:type="spellStart"/>
      <w:r>
        <w:rPr>
          <w:rFonts w:ascii="Arial" w:eastAsia="Arial" w:hAnsi="Arial" w:cs="Arial"/>
          <w:sz w:val="28"/>
          <w:szCs w:val="28"/>
        </w:rPr>
        <w:t>Ternium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México; </w:t>
      </w:r>
      <w:proofErr w:type="spellStart"/>
      <w:r>
        <w:rPr>
          <w:rFonts w:ascii="Arial" w:eastAsia="Arial" w:hAnsi="Arial" w:cs="Arial"/>
          <w:sz w:val="28"/>
          <w:szCs w:val="28"/>
        </w:rPr>
        <w:t>Karem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Barraza, de </w:t>
      </w:r>
      <w:proofErr w:type="spellStart"/>
      <w:r>
        <w:rPr>
          <w:rFonts w:ascii="Arial" w:eastAsia="Arial" w:hAnsi="Arial" w:cs="Arial"/>
          <w:sz w:val="28"/>
          <w:szCs w:val="28"/>
        </w:rPr>
        <w:t>Goodyear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Irma León Garza, de Industrias </w:t>
      </w:r>
      <w:proofErr w:type="spellStart"/>
      <w:r>
        <w:rPr>
          <w:rFonts w:ascii="Arial" w:eastAsia="Arial" w:hAnsi="Arial" w:cs="Arial"/>
          <w:sz w:val="28"/>
          <w:szCs w:val="28"/>
        </w:rPr>
        <w:t>Lowe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Blanca López Peña, de MIMSA; Paulina González, de American Industries; </w:t>
      </w:r>
      <w:proofErr w:type="spellStart"/>
      <w:r>
        <w:rPr>
          <w:rFonts w:ascii="Arial" w:eastAsia="Arial" w:hAnsi="Arial" w:cs="Arial"/>
          <w:sz w:val="28"/>
          <w:szCs w:val="28"/>
        </w:rPr>
        <w:t>Marissa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Jiménez, de Air/</w:t>
      </w:r>
      <w:proofErr w:type="spellStart"/>
      <w:r>
        <w:rPr>
          <w:rFonts w:ascii="Arial" w:eastAsia="Arial" w:hAnsi="Arial" w:cs="Arial"/>
          <w:sz w:val="28"/>
          <w:szCs w:val="28"/>
        </w:rPr>
        <w:t>Care</w:t>
      </w:r>
      <w:proofErr w:type="spellEnd"/>
      <w:r>
        <w:rPr>
          <w:rFonts w:ascii="Arial" w:eastAsia="Arial" w:hAnsi="Arial" w:cs="Arial"/>
          <w:sz w:val="28"/>
          <w:szCs w:val="28"/>
        </w:rPr>
        <w:t>; Sa</w:t>
      </w:r>
      <w:r>
        <w:rPr>
          <w:rFonts w:ascii="Arial" w:eastAsia="Arial" w:hAnsi="Arial" w:cs="Arial"/>
          <w:sz w:val="28"/>
          <w:szCs w:val="28"/>
        </w:rPr>
        <w:t xml:space="preserve">ndra Lorena Martínez Torres, de Grupo </w:t>
      </w:r>
      <w:proofErr w:type="spellStart"/>
      <w:r>
        <w:rPr>
          <w:rFonts w:ascii="Arial" w:eastAsia="Arial" w:hAnsi="Arial" w:cs="Arial"/>
          <w:sz w:val="28"/>
          <w:szCs w:val="28"/>
        </w:rPr>
        <w:t>Nordata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César Humberto Cadena </w:t>
      </w:r>
      <w:proofErr w:type="spellStart"/>
      <w:r>
        <w:rPr>
          <w:rFonts w:ascii="Arial" w:eastAsia="Arial" w:hAnsi="Arial" w:cs="Arial"/>
          <w:sz w:val="28"/>
          <w:szCs w:val="28"/>
        </w:rPr>
        <w:t>Cadena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de </w:t>
      </w:r>
      <w:proofErr w:type="spellStart"/>
      <w:r>
        <w:rPr>
          <w:rFonts w:ascii="Arial" w:eastAsia="Arial" w:hAnsi="Arial" w:cs="Arial"/>
          <w:sz w:val="28"/>
          <w:szCs w:val="28"/>
        </w:rPr>
        <w:t>Energex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Javier Cendejas Meneses, de DICEX; Manuel Ali </w:t>
      </w:r>
      <w:proofErr w:type="spellStart"/>
      <w:r>
        <w:rPr>
          <w:rFonts w:ascii="Arial" w:eastAsia="Arial" w:hAnsi="Arial" w:cs="Arial"/>
          <w:sz w:val="28"/>
          <w:szCs w:val="28"/>
        </w:rPr>
        <w:t>Jezzini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Martínez, de Unidad Trituradora de Allende y Calizas de Calidad; Roberto Cantú Alanís, de Roca Desarrollos; David</w:t>
      </w:r>
      <w:r>
        <w:rPr>
          <w:rFonts w:ascii="Arial" w:eastAsia="Arial" w:hAnsi="Arial" w:cs="Arial"/>
          <w:sz w:val="28"/>
          <w:szCs w:val="28"/>
        </w:rPr>
        <w:t xml:space="preserve"> Alejandro Dávila Torres, de </w:t>
      </w:r>
      <w:proofErr w:type="spellStart"/>
      <w:r>
        <w:rPr>
          <w:rFonts w:ascii="Arial" w:eastAsia="Arial" w:hAnsi="Arial" w:cs="Arial"/>
          <w:sz w:val="28"/>
          <w:szCs w:val="28"/>
        </w:rPr>
        <w:t>Alebrije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Studios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; Gustavo Castillo, de FEMSA; y Baldwin </w:t>
      </w:r>
      <w:proofErr w:type="spellStart"/>
      <w:r>
        <w:rPr>
          <w:rFonts w:ascii="Arial" w:eastAsia="Arial" w:hAnsi="Arial" w:cs="Arial"/>
          <w:sz w:val="28"/>
          <w:szCs w:val="28"/>
        </w:rPr>
        <w:t>Britton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de </w:t>
      </w:r>
      <w:proofErr w:type="spellStart"/>
      <w:r>
        <w:rPr>
          <w:rFonts w:ascii="Arial" w:eastAsia="Arial" w:hAnsi="Arial" w:cs="Arial"/>
          <w:sz w:val="28"/>
          <w:szCs w:val="28"/>
        </w:rPr>
        <w:t>Plastiexports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433F0E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Comité Promotor de Inversión busca consolidar un modelo de colaboración entre los distintos órdenes de gobierno y el sector privado para imp</w:t>
      </w:r>
      <w:r>
        <w:rPr>
          <w:rFonts w:ascii="Arial" w:eastAsia="Arial" w:hAnsi="Arial" w:cs="Arial"/>
          <w:sz w:val="28"/>
          <w:szCs w:val="28"/>
        </w:rPr>
        <w:t>ulsar proyectos estratégicos, elevar la competitividad regional y generar nuevas oportunidades de crecimiento económico para Nuevo León.</w:t>
      </w: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8E2E07">
      <w:pPr>
        <w:jc w:val="both"/>
        <w:rPr>
          <w:rFonts w:ascii="Arial" w:eastAsia="Arial" w:hAnsi="Arial" w:cs="Arial"/>
          <w:sz w:val="28"/>
          <w:szCs w:val="28"/>
        </w:rPr>
      </w:pPr>
    </w:p>
    <w:p w:rsidR="008E2E07" w:rsidRDefault="008E2E07">
      <w:pPr>
        <w:jc w:val="both"/>
        <w:rPr>
          <w:rFonts w:ascii="Arial" w:eastAsia="Arial" w:hAnsi="Arial" w:cs="Arial"/>
          <w:color w:val="323E4F"/>
        </w:rPr>
      </w:pPr>
    </w:p>
    <w:sectPr w:rsidR="008E2E07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3F0E">
      <w:r>
        <w:separator/>
      </w:r>
    </w:p>
  </w:endnote>
  <w:endnote w:type="continuationSeparator" w:id="0">
    <w:p w:rsidR="00000000" w:rsidRDefault="0043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9947572-530C-4332-9F2E-967CF772FCC3}"/>
    <w:embedBold r:id="rId2" w:fontKey="{C846D2E8-1C00-46C2-9CE5-ED32EBC48EA0}"/>
    <w:embedItalic r:id="rId3" w:fontKey="{4740C107-9372-4444-92BC-715ADAFCC5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B01D953-B692-4957-A679-0F2AA71FA1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76029D2-7A5F-40AD-857C-69C9D9D47F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E07" w:rsidRDefault="00433F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E2E07" w:rsidRDefault="008E2E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8E2E07" w:rsidRDefault="008E2E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3F0E">
      <w:r>
        <w:separator/>
      </w:r>
    </w:p>
  </w:footnote>
  <w:footnote w:type="continuationSeparator" w:id="0">
    <w:p w:rsidR="00000000" w:rsidRDefault="00433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E07" w:rsidRDefault="00433F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97ABB"/>
    <w:multiLevelType w:val="multilevel"/>
    <w:tmpl w:val="4538F2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07"/>
    <w:rsid w:val="00433F0E"/>
    <w:rsid w:val="008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6DA810-F024-43DC-84F9-2C4479F9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Tovar Barboza</dc:creator>
  <cp:lastModifiedBy>Rosalinda Tovar Barboza</cp:lastModifiedBy>
  <cp:revision>2</cp:revision>
  <dcterms:created xsi:type="dcterms:W3CDTF">2026-08-11T22:12:00Z</dcterms:created>
  <dcterms:modified xsi:type="dcterms:W3CDTF">2026-08-11T22:12:00Z</dcterms:modified>
</cp:coreProperties>
</file>