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0413D" w14:textId="2911CA39" w:rsidR="00BB4DAF" w:rsidRPr="00500DC5" w:rsidRDefault="00500DC5">
      <w:pPr>
        <w:jc w:val="right"/>
        <w:rPr>
          <w:rFonts w:ascii="Arial" w:eastAsia="Arial" w:hAnsi="Arial" w:cs="Arial"/>
          <w:b/>
          <w:bCs/>
        </w:rPr>
      </w:pPr>
      <w:r w:rsidRPr="00500DC5">
        <w:rPr>
          <w:rFonts w:ascii="Arial" w:eastAsia="Arial" w:hAnsi="Arial" w:cs="Arial"/>
          <w:b/>
          <w:bCs/>
        </w:rPr>
        <w:t>CP/27</w:t>
      </w:r>
      <w:r w:rsidR="0055039D">
        <w:rPr>
          <w:rFonts w:ascii="Arial" w:eastAsia="Arial" w:hAnsi="Arial" w:cs="Arial"/>
          <w:b/>
          <w:bCs/>
        </w:rPr>
        <w:t>80</w:t>
      </w:r>
      <w:r w:rsidRPr="00500DC5">
        <w:rPr>
          <w:rFonts w:ascii="Arial" w:eastAsia="Arial" w:hAnsi="Arial" w:cs="Arial"/>
          <w:b/>
          <w:bCs/>
        </w:rPr>
        <w:t>/2024</w:t>
      </w:r>
    </w:p>
    <w:p w14:paraId="2BEDBE82" w14:textId="1AA40413" w:rsidR="0054705F" w:rsidRPr="00500DC5" w:rsidRDefault="002718EE">
      <w:pPr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30</w:t>
      </w:r>
      <w:r w:rsidR="00B409FC" w:rsidRPr="00500DC5">
        <w:rPr>
          <w:rFonts w:ascii="Arial" w:eastAsia="Arial" w:hAnsi="Arial" w:cs="Arial"/>
          <w:b/>
          <w:bCs/>
        </w:rPr>
        <w:t xml:space="preserve"> de diciembre de 2024</w:t>
      </w:r>
    </w:p>
    <w:p w14:paraId="5AB238E6" w14:textId="77777777" w:rsidR="0054705F" w:rsidRPr="00500DC5" w:rsidRDefault="00B409FC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500DC5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4785A37" w14:textId="77777777" w:rsidR="005D4570" w:rsidRDefault="005D4570" w:rsidP="005D4570">
      <w:pPr>
        <w:jc w:val="center"/>
        <w:divId w:val="1417358909"/>
        <w:rPr>
          <w:rFonts w:ascii="Arial" w:eastAsiaTheme="minorEastAsia" w:hAnsi="Arial" w:cs="Arial"/>
          <w:b/>
          <w:bCs/>
          <w:sz w:val="28"/>
          <w:szCs w:val="28"/>
        </w:rPr>
      </w:pPr>
      <w:r w:rsidRPr="00D86221">
        <w:rPr>
          <w:rFonts w:ascii="Arial" w:eastAsiaTheme="minorEastAsia" w:hAnsi="Arial" w:cs="Arial"/>
          <w:b/>
          <w:bCs/>
          <w:sz w:val="28"/>
          <w:szCs w:val="28"/>
        </w:rPr>
        <w:t xml:space="preserve">PONDERAN LOGROS DE CELEBRACIÓN </w:t>
      </w:r>
    </w:p>
    <w:p w14:paraId="4D00A071" w14:textId="493DD745" w:rsidR="00D86221" w:rsidRPr="00D86221" w:rsidRDefault="005D4570" w:rsidP="005D4570">
      <w:pPr>
        <w:jc w:val="center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b/>
          <w:bCs/>
          <w:sz w:val="28"/>
          <w:szCs w:val="28"/>
        </w:rPr>
        <w:t>DE 200 AÑOS DE NUEVO LEÓN</w:t>
      </w:r>
    </w:p>
    <w:p w14:paraId="2C18006B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 </w:t>
      </w:r>
    </w:p>
    <w:p w14:paraId="2FD4DBE5" w14:textId="7E2B7272" w:rsidR="00D86221" w:rsidRPr="00624DEA" w:rsidRDefault="00D86221" w:rsidP="00624DEA">
      <w:pPr>
        <w:pStyle w:val="Prrafodelista"/>
        <w:numPr>
          <w:ilvl w:val="0"/>
          <w:numId w:val="4"/>
        </w:numPr>
        <w:jc w:val="both"/>
        <w:divId w:val="1417358909"/>
        <w:rPr>
          <w:rFonts w:ascii="Arial" w:eastAsiaTheme="minorEastAsia" w:hAnsi="Arial" w:cs="Arial"/>
          <w:i/>
          <w:iCs/>
        </w:rPr>
      </w:pPr>
      <w:bookmarkStart w:id="0" w:name="_GoBack"/>
      <w:r w:rsidRPr="00624DEA">
        <w:rPr>
          <w:rFonts w:ascii="Arial" w:eastAsiaTheme="minorEastAsia" w:hAnsi="Arial" w:cs="Arial"/>
          <w:i/>
          <w:iCs/>
        </w:rPr>
        <w:t>Secretaría de Cultura coordinó amplia agenda y participación de instituciones públicas y privadas.</w:t>
      </w:r>
    </w:p>
    <w:p w14:paraId="14049D90" w14:textId="6DD206E1" w:rsidR="00D86221" w:rsidRPr="00624DEA" w:rsidRDefault="00D86221" w:rsidP="00624DEA">
      <w:pPr>
        <w:pStyle w:val="Prrafodelista"/>
        <w:numPr>
          <w:ilvl w:val="0"/>
          <w:numId w:val="4"/>
        </w:numPr>
        <w:jc w:val="both"/>
        <w:divId w:val="1417358909"/>
        <w:rPr>
          <w:rFonts w:ascii="Arial" w:eastAsiaTheme="minorEastAsia" w:hAnsi="Arial" w:cs="Arial"/>
          <w:i/>
          <w:iCs/>
        </w:rPr>
      </w:pPr>
      <w:r w:rsidRPr="00624DEA">
        <w:rPr>
          <w:rFonts w:ascii="Arial" w:eastAsiaTheme="minorEastAsia" w:hAnsi="Arial" w:cs="Arial"/>
          <w:i/>
          <w:iCs/>
        </w:rPr>
        <w:t>Portal web será memoria de las actividades realizadas.</w:t>
      </w:r>
    </w:p>
    <w:p w14:paraId="101D47BA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 </w:t>
      </w:r>
    </w:p>
    <w:p w14:paraId="4E5556B4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Nuevo León cumplió 200 años este 2024 en los que la entidad celebró dos siglos ascendiendo, 200 años imparables, con orgullo, tradición y grandeza, resaltando nuestra historia, cultura e identidades. </w:t>
      </w:r>
    </w:p>
    <w:p w14:paraId="3AEC10B5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0D49B704" w14:textId="7072480C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Desde la instalación de la Comisión Organizadora el pasado 13 de agosto de 2023, se inició un complejo proceso de</w:t>
      </w:r>
      <w:r w:rsidR="000F1FA3">
        <w:rPr>
          <w:rFonts w:ascii="Arial" w:eastAsiaTheme="minorEastAsia" w:hAnsi="Arial" w:cs="Arial"/>
          <w:sz w:val="28"/>
          <w:szCs w:val="28"/>
        </w:rPr>
        <w:t xml:space="preserve"> </w:t>
      </w:r>
      <w:r w:rsidRPr="00D86221">
        <w:rPr>
          <w:rFonts w:ascii="Arial" w:eastAsiaTheme="minorEastAsia" w:hAnsi="Arial" w:cs="Arial"/>
          <w:sz w:val="28"/>
          <w:szCs w:val="28"/>
        </w:rPr>
        <w:t>organización que involucró a diversas dependencias y actores clave, logrando una celebración que quedó en la memoria de toda la comunidad.</w:t>
      </w:r>
    </w:p>
    <w:p w14:paraId="5FFEBDF6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4ACA7855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“El trabajo conjunto de todas las dependencias que integramos esta Comisión organizadora hizo posible una celebración que se desarrolló durante un año, confirmando el progreso, la innovación y la soberanía de Nuevo León. Para esta conmemoración, definimos tres ejes temáticos: Reflexivo, Festivo y Conmemorativo, además de llevar a cabo grandes obras públicas históricas que representaron un nuevo legado para los siguientes 200 años”, declaró Melissa Segura Guerrero, titular de la Secretaría de Cultura del Estado y quien encabezó la Comisión Organizadora de la Conmemoración de los 200 Años de la Declaratoria de Nuevo León como un Estado Libre y Soberano y los consejos auxiliares creados por acuerdo del Ejecutivo.</w:t>
      </w:r>
    </w:p>
    <w:p w14:paraId="54773948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7CDD6847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lastRenderedPageBreak/>
        <w:t>Al ponderar las acciones y el reporte final de la Comisión, la funcionaria analizó que en el Eje Reflexivo se dio un recorrido por nuestra historia a través de un programa educativo. </w:t>
      </w:r>
    </w:p>
    <w:p w14:paraId="54F665ED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0BB111CA" w14:textId="6B42FA8E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 xml:space="preserve">Este consejo estuvo conformado por las universidades del estado, así como por las instituciones de investigación y divulgación del conocimiento, logrando un total de 102 eventos y actividades, con la participación de 31 instituciones tanto públicas como privadas. Entre los eventos más destacados, destacan Las y los 200 de Nuevo León; la exposición Constitución y Ciudadanía. Nuevo León 200 Años, así como la obra de teatro infantil “Memorias de </w:t>
      </w:r>
      <w:proofErr w:type="spellStart"/>
      <w:r w:rsidRPr="00D86221">
        <w:rPr>
          <w:rFonts w:ascii="Arial" w:eastAsiaTheme="minorEastAsia" w:hAnsi="Arial" w:cs="Arial"/>
          <w:sz w:val="28"/>
          <w:szCs w:val="28"/>
        </w:rPr>
        <w:t>Bicente</w:t>
      </w:r>
      <w:proofErr w:type="spellEnd"/>
      <w:r w:rsidRPr="00D86221">
        <w:rPr>
          <w:rFonts w:ascii="Arial" w:eastAsiaTheme="minorEastAsia" w:hAnsi="Arial" w:cs="Arial"/>
          <w:sz w:val="28"/>
          <w:szCs w:val="28"/>
        </w:rPr>
        <w:t>, el León”, con 100 presentaciones</w:t>
      </w:r>
      <w:r w:rsidR="000F1FA3">
        <w:rPr>
          <w:rFonts w:ascii="Arial" w:eastAsiaTheme="minorEastAsia" w:hAnsi="Arial" w:cs="Arial"/>
          <w:sz w:val="28"/>
          <w:szCs w:val="28"/>
        </w:rPr>
        <w:t xml:space="preserve"> </w:t>
      </w:r>
      <w:r w:rsidRPr="00D86221">
        <w:rPr>
          <w:rFonts w:ascii="Arial" w:eastAsiaTheme="minorEastAsia" w:hAnsi="Arial" w:cs="Arial"/>
          <w:sz w:val="28"/>
          <w:szCs w:val="28"/>
        </w:rPr>
        <w:t>que fomentaron el sentido de identidad y pertenencia, promoviendo la apreciación de nuestra historia y cultura.</w:t>
      </w:r>
    </w:p>
    <w:p w14:paraId="230419F2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6F642F27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En el Eje Festivo, se canalizaron actividades culturales y artísticas a los espacios públicos, promoviendo una participación inclusiva y accesible para todas y todos.</w:t>
      </w:r>
    </w:p>
    <w:p w14:paraId="7171EDFD" w14:textId="0392FFB8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 xml:space="preserve">Se llevaron a cabo 90 eventos y actividades, con la colaboración de 25 instituciones. Entre los eventos más destacados se tuvieron cuatro </w:t>
      </w:r>
      <w:proofErr w:type="spellStart"/>
      <w:r w:rsidRPr="00D86221">
        <w:rPr>
          <w:rFonts w:ascii="Arial" w:eastAsiaTheme="minorEastAsia" w:hAnsi="Arial" w:cs="Arial"/>
          <w:sz w:val="28"/>
          <w:szCs w:val="28"/>
        </w:rPr>
        <w:t>Macrofest</w:t>
      </w:r>
      <w:proofErr w:type="spellEnd"/>
      <w:r w:rsidRPr="00D86221">
        <w:rPr>
          <w:rFonts w:ascii="Arial" w:eastAsiaTheme="minorEastAsia" w:hAnsi="Arial" w:cs="Arial"/>
          <w:sz w:val="28"/>
          <w:szCs w:val="28"/>
        </w:rPr>
        <w:t>, con más de 260 mil asistentes; nueve festivales barriales donde se</w:t>
      </w:r>
      <w:r w:rsidR="000F1FA3">
        <w:rPr>
          <w:rFonts w:ascii="Arial" w:eastAsiaTheme="minorEastAsia" w:hAnsi="Arial" w:cs="Arial"/>
          <w:sz w:val="28"/>
          <w:szCs w:val="28"/>
        </w:rPr>
        <w:t xml:space="preserve"> </w:t>
      </w:r>
      <w:r w:rsidRPr="00D86221">
        <w:rPr>
          <w:rFonts w:ascii="Arial" w:eastAsiaTheme="minorEastAsia" w:hAnsi="Arial" w:cs="Arial"/>
          <w:sz w:val="28"/>
          <w:szCs w:val="28"/>
        </w:rPr>
        <w:t>contaron con más de 11 mil asistentes y cuatro festivales regionales que recibieron a 17,500 asistentes.</w:t>
      </w:r>
    </w:p>
    <w:p w14:paraId="3AC408A8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0D8CF7B7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 xml:space="preserve">Igualmente tuvieron importante repercusión regional y nacional eventos especiales como los tres espectáculos de Luces de Nuevo León, realizados en el Horno 3, LABNL, el Museo del Obispado, donde hubo una asistencia de 8,300 asistentes; la visita de Amal, la marioneta gigante que promueve la paz y solidaridad; la edición número 17 del Festival Internacional de Santa Lucía (FISL) con más de 1.5 millones de asistentes durante 16 días, donde se dieron cita 285 expresiones </w:t>
      </w:r>
      <w:proofErr w:type="gramStart"/>
      <w:r w:rsidRPr="00D86221">
        <w:rPr>
          <w:rFonts w:ascii="Arial" w:eastAsiaTheme="minorEastAsia" w:hAnsi="Arial" w:cs="Arial"/>
          <w:sz w:val="28"/>
          <w:szCs w:val="28"/>
        </w:rPr>
        <w:t>artísticas</w:t>
      </w:r>
      <w:proofErr w:type="gramEnd"/>
      <w:r w:rsidRPr="00D86221">
        <w:rPr>
          <w:rFonts w:ascii="Arial" w:eastAsiaTheme="minorEastAsia" w:hAnsi="Arial" w:cs="Arial"/>
          <w:sz w:val="28"/>
          <w:szCs w:val="28"/>
        </w:rPr>
        <w:t xml:space="preserve"> en 83 locaciones, con la participación de 1,053 artistas de 50 compañías procedentes de 26 países.</w:t>
      </w:r>
    </w:p>
    <w:p w14:paraId="7407E36C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6DAC8C0F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lastRenderedPageBreak/>
        <w:t xml:space="preserve">Y en mayo, el espectáculo emblemático  “200 Años Ascendiendo” asombró a más 25,000 asistentes presenciales, más los que lo siguieron a través de medios electrónicos y digitales, donde más de 300 artistas dieron vida a nuestra historia y cultura en una experiencia </w:t>
      </w:r>
      <w:proofErr w:type="spellStart"/>
      <w:r w:rsidRPr="00D86221">
        <w:rPr>
          <w:rFonts w:ascii="Arial" w:eastAsiaTheme="minorEastAsia" w:hAnsi="Arial" w:cs="Arial"/>
          <w:sz w:val="28"/>
          <w:szCs w:val="28"/>
        </w:rPr>
        <w:t>inmersiva</w:t>
      </w:r>
      <w:proofErr w:type="spellEnd"/>
      <w:r w:rsidRPr="00D86221">
        <w:rPr>
          <w:rFonts w:ascii="Arial" w:eastAsiaTheme="minorEastAsia" w:hAnsi="Arial" w:cs="Arial"/>
          <w:sz w:val="28"/>
          <w:szCs w:val="28"/>
        </w:rPr>
        <w:t xml:space="preserve"> que incluyó música, danza y proyecciones audiovisuales.</w:t>
      </w:r>
    </w:p>
    <w:p w14:paraId="0F8615F6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2605313F" w14:textId="5200295F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La participación de una amplia delegación de Nuevo León en Los Pinos en el mes de agosto reflejó para los asistentes y la vasta cobertura de los medios nacional</w:t>
      </w:r>
      <w:r w:rsidR="0055039D">
        <w:rPr>
          <w:rFonts w:ascii="Arial" w:eastAsiaTheme="minorEastAsia" w:hAnsi="Arial" w:cs="Arial"/>
          <w:sz w:val="28"/>
          <w:szCs w:val="28"/>
        </w:rPr>
        <w:t xml:space="preserve"> </w:t>
      </w:r>
      <w:r w:rsidRPr="00D86221">
        <w:rPr>
          <w:rFonts w:ascii="Arial" w:eastAsiaTheme="minorEastAsia" w:hAnsi="Arial" w:cs="Arial"/>
          <w:sz w:val="28"/>
          <w:szCs w:val="28"/>
        </w:rPr>
        <w:t>es</w:t>
      </w:r>
      <w:r w:rsidR="0055039D">
        <w:rPr>
          <w:rFonts w:ascii="Arial" w:eastAsiaTheme="minorEastAsia" w:hAnsi="Arial" w:cs="Arial"/>
          <w:sz w:val="28"/>
          <w:szCs w:val="28"/>
        </w:rPr>
        <w:t xml:space="preserve"> </w:t>
      </w:r>
      <w:r w:rsidRPr="00D86221">
        <w:rPr>
          <w:rFonts w:ascii="Arial" w:eastAsiaTheme="minorEastAsia" w:hAnsi="Arial" w:cs="Arial"/>
          <w:sz w:val="28"/>
          <w:szCs w:val="28"/>
        </w:rPr>
        <w:t>nuestra historia, tradiciones y cultura a la capital del país, con 25 actividades de danza, artes visuales, literatura, cine, música y gastronomía. Los eventos estelares incluyeron los conciertos de los Acordeones Sinfónicos, El Gran Silencio y el Ballet de Monterrey, con la participación de 136 artistas.</w:t>
      </w:r>
    </w:p>
    <w:p w14:paraId="303EFE2D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7BA9D857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Y fue mediante el Eje Conmemorativo donde se rindió un homenaje a nuestro legado, dejando un testimonio imborrable para las futuras generaciones. Sus acciones se reflejaron en 57 eventos y actividades y se contó con la participación de 23 instituciones. Algunos de los eventos que destacaron por su intensa cobertura mediática fueron las presentaciones del libro conmemorativo: “Nuevo León: 200 Años de Historia”, tanto en Nuevo León como en las ferias del libro de Monterrey, Coahuila, y Guadalajara.</w:t>
      </w:r>
    </w:p>
    <w:p w14:paraId="3DDD7332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73992D16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De gran relevancia ha sido el proceso que se está llevando a cabo de restauración del Arco de la Independencia, donde se ha concluido la primera etapa y se sigue avanzando conforme al calendario.</w:t>
      </w:r>
    </w:p>
    <w:p w14:paraId="5663A2B9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4766651B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 xml:space="preserve">Otras actividades fueron el certamen Siete Maravillas Históricas de Nuevo León; el Clásico Regio Número 134, denominado Clásico Bicentenario; el reconocimiento cívico Presea Nuevo León 200 años, instaurado para homenajear la memoria de 15 grandes personajes ilustres que construyeron el Nuevo León de hoy a lo largo de estos 200 años. Para reflejar estos grandes acontecimientos, se está </w:t>
      </w:r>
      <w:r w:rsidRPr="00D86221">
        <w:rPr>
          <w:rFonts w:ascii="Arial" w:eastAsiaTheme="minorEastAsia" w:hAnsi="Arial" w:cs="Arial"/>
          <w:sz w:val="28"/>
          <w:szCs w:val="28"/>
        </w:rPr>
        <w:lastRenderedPageBreak/>
        <w:t>desarrollando un portal web que contendrá la memoria de esta gran celebración y que se podrá consultar a inicios del 2025.</w:t>
      </w:r>
    </w:p>
    <w:p w14:paraId="3E4184BD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728E2EE2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“Al condensar en un informe, el reporte ascendió a 250 actividades y eventos realizados con la colaboración de más de 50 instituciones, demostrando una vez más la fortaleza y unidad de nuestro estado. </w:t>
      </w:r>
    </w:p>
    <w:p w14:paraId="53A98757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</w:p>
    <w:p w14:paraId="29B9FC62" w14:textId="77777777" w:rsidR="00D86221" w:rsidRPr="00D86221" w:rsidRDefault="00D86221" w:rsidP="00624DEA">
      <w:pPr>
        <w:jc w:val="both"/>
        <w:divId w:val="1417358909"/>
        <w:rPr>
          <w:rFonts w:ascii="Arial" w:eastAsiaTheme="minorEastAsia" w:hAnsi="Arial" w:cs="Arial"/>
          <w:sz w:val="28"/>
          <w:szCs w:val="28"/>
        </w:rPr>
      </w:pPr>
      <w:r w:rsidRPr="00D86221">
        <w:rPr>
          <w:rFonts w:ascii="Arial" w:eastAsiaTheme="minorEastAsia" w:hAnsi="Arial" w:cs="Arial"/>
          <w:sz w:val="28"/>
          <w:szCs w:val="28"/>
        </w:rPr>
        <w:t>Porque así es Nuevo León: un territorio imparable que, durante 200 años, ha avanzado con determinación y orgullo, dejando huella en cada paso que damos hacia el futuro”, afirmó la titular del comité organizador de los festejos al hacer balance a fin de año de lo realizado, agradeciendo a las instituciones públicas, privadas y universitarias, así como al equipo de trabajo de la Secretaría de Cultura que encabeza.</w:t>
      </w:r>
    </w:p>
    <w:bookmarkEnd w:id="0"/>
    <w:p w14:paraId="01F5B9AA" w14:textId="5E715F38" w:rsidR="009F6684" w:rsidRPr="00696453" w:rsidRDefault="009F6684" w:rsidP="00D86221">
      <w:pPr>
        <w:pStyle w:val="p1"/>
        <w:jc w:val="center"/>
        <w:divId w:val="2143841554"/>
        <w:rPr>
          <w:rFonts w:ascii="Arial" w:hAnsi="Arial" w:cs="Arial"/>
          <w:bCs/>
          <w:sz w:val="28"/>
          <w:szCs w:val="28"/>
        </w:rPr>
      </w:pPr>
    </w:p>
    <w:sectPr w:rsidR="009F6684" w:rsidRPr="00696453">
      <w:headerReference w:type="default" r:id="rId8"/>
      <w:pgSz w:w="12240" w:h="15840"/>
      <w:pgMar w:top="3062" w:right="1701" w:bottom="21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86549" w14:textId="77777777" w:rsidR="002E152E" w:rsidRDefault="002E152E">
      <w:r>
        <w:separator/>
      </w:r>
    </w:p>
  </w:endnote>
  <w:endnote w:type="continuationSeparator" w:id="0">
    <w:p w14:paraId="47CCF131" w14:textId="77777777" w:rsidR="002E152E" w:rsidRDefault="002E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9F0A6" w14:textId="77777777" w:rsidR="002E152E" w:rsidRDefault="002E152E">
      <w:r>
        <w:separator/>
      </w:r>
    </w:p>
  </w:footnote>
  <w:footnote w:type="continuationSeparator" w:id="0">
    <w:p w14:paraId="41AEE9FA" w14:textId="77777777" w:rsidR="002E152E" w:rsidRDefault="002E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EC918" w14:textId="77777777" w:rsidR="0054705F" w:rsidRDefault="00B40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0DBBBC" wp14:editId="6BE7ECF7">
          <wp:simplePos x="0" y="0"/>
          <wp:positionH relativeFrom="column">
            <wp:posOffset>-1080122</wp:posOffset>
          </wp:positionH>
          <wp:positionV relativeFrom="paragraph">
            <wp:posOffset>-449564</wp:posOffset>
          </wp:positionV>
          <wp:extent cx="7783195" cy="1007300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F6FEA"/>
    <w:multiLevelType w:val="hybridMultilevel"/>
    <w:tmpl w:val="5A641C0C"/>
    <w:lvl w:ilvl="0" w:tplc="08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39110E8B"/>
    <w:multiLevelType w:val="multilevel"/>
    <w:tmpl w:val="2B384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AB79A1"/>
    <w:multiLevelType w:val="multilevel"/>
    <w:tmpl w:val="E8EA1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1C0E81"/>
    <w:multiLevelType w:val="hybridMultilevel"/>
    <w:tmpl w:val="89A4D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F"/>
    <w:rsid w:val="00072E32"/>
    <w:rsid w:val="000D4195"/>
    <w:rsid w:val="000F1FA3"/>
    <w:rsid w:val="00201C77"/>
    <w:rsid w:val="00230915"/>
    <w:rsid w:val="002718EE"/>
    <w:rsid w:val="00276D8E"/>
    <w:rsid w:val="002E152E"/>
    <w:rsid w:val="002F2E17"/>
    <w:rsid w:val="003C73C0"/>
    <w:rsid w:val="00402AB0"/>
    <w:rsid w:val="00443407"/>
    <w:rsid w:val="00452F77"/>
    <w:rsid w:val="004551E1"/>
    <w:rsid w:val="004F33F4"/>
    <w:rsid w:val="00500DC5"/>
    <w:rsid w:val="0054705F"/>
    <w:rsid w:val="0055039D"/>
    <w:rsid w:val="005B6D20"/>
    <w:rsid w:val="005B7A11"/>
    <w:rsid w:val="005D30F6"/>
    <w:rsid w:val="005D4570"/>
    <w:rsid w:val="005E63DA"/>
    <w:rsid w:val="00624DEA"/>
    <w:rsid w:val="00653A7C"/>
    <w:rsid w:val="0066626F"/>
    <w:rsid w:val="00696453"/>
    <w:rsid w:val="00731C30"/>
    <w:rsid w:val="008D5AFF"/>
    <w:rsid w:val="0093176B"/>
    <w:rsid w:val="009A12C4"/>
    <w:rsid w:val="009F6684"/>
    <w:rsid w:val="00A34EED"/>
    <w:rsid w:val="00B27AFE"/>
    <w:rsid w:val="00B409FC"/>
    <w:rsid w:val="00BA729B"/>
    <w:rsid w:val="00BB4DAF"/>
    <w:rsid w:val="00CD7D7F"/>
    <w:rsid w:val="00CE2B63"/>
    <w:rsid w:val="00CF073F"/>
    <w:rsid w:val="00CF585B"/>
    <w:rsid w:val="00D14946"/>
    <w:rsid w:val="00D36A61"/>
    <w:rsid w:val="00D86221"/>
    <w:rsid w:val="00D902A4"/>
    <w:rsid w:val="00DB2D36"/>
    <w:rsid w:val="00DD1E8A"/>
    <w:rsid w:val="00EC6267"/>
    <w:rsid w:val="00ED087E"/>
    <w:rsid w:val="00F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C658"/>
  <w15:docId w15:val="{CDE1C2B0-3863-46A4-B49C-7F238C80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91192C"/>
  </w:style>
  <w:style w:type="paragraph" w:styleId="Encabezado">
    <w:name w:val="header"/>
    <w:basedOn w:val="Normal"/>
    <w:link w:val="EncabezadoCar"/>
    <w:uiPriority w:val="99"/>
    <w:unhideWhenUsed/>
    <w:rsid w:val="003F36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6F0"/>
  </w:style>
  <w:style w:type="paragraph" w:styleId="Piedepgina">
    <w:name w:val="footer"/>
    <w:basedOn w:val="Normal"/>
    <w:link w:val="PiedepginaCar"/>
    <w:uiPriority w:val="99"/>
    <w:unhideWhenUsed/>
    <w:rsid w:val="003F36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6F0"/>
  </w:style>
  <w:style w:type="paragraph" w:styleId="Prrafodelista">
    <w:name w:val="List Paragraph"/>
    <w:basedOn w:val="Normal"/>
    <w:uiPriority w:val="34"/>
    <w:qFormat/>
    <w:rsid w:val="003E7255"/>
    <w:pPr>
      <w:ind w:left="720"/>
      <w:contextualSpacing/>
    </w:pPr>
  </w:style>
  <w:style w:type="paragraph" w:customStyle="1" w:styleId="p1">
    <w:name w:val="p1"/>
    <w:basedOn w:val="Normal"/>
    <w:rsid w:val="00696453"/>
    <w:rPr>
      <w:rFonts w:ascii=".SF UI" w:eastAsiaTheme="minorEastAsia" w:hAnsi=".SF UI" w:cs="Times New Roman"/>
      <w:sz w:val="18"/>
      <w:szCs w:val="18"/>
    </w:rPr>
  </w:style>
  <w:style w:type="character" w:customStyle="1" w:styleId="s1">
    <w:name w:val="s1"/>
    <w:basedOn w:val="Fuentedeprrafopredeter"/>
    <w:rsid w:val="0069645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69645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69645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customStyle="1" w:styleId="p2">
    <w:name w:val="p2"/>
    <w:basedOn w:val="Normal"/>
    <w:rsid w:val="00D86221"/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apple-converted-space">
    <w:name w:val="apple-converted-space"/>
    <w:basedOn w:val="Fuentedeprrafopredeter"/>
    <w:rsid w:val="00D8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/OuX1dyJ2j75DrizCVlJMaYOg==">CgMxLjA4AHIhMW9DYk14ck5Ec3RTWUxlZUZFX2NnRTkzUmlROU9rNXRr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V. Galicia</dc:creator>
  <cp:lastModifiedBy>Andrea Guadalupe Rodriguez Flores</cp:lastModifiedBy>
  <cp:revision>2</cp:revision>
  <dcterms:created xsi:type="dcterms:W3CDTF">2024-12-31T19:22:00Z</dcterms:created>
  <dcterms:modified xsi:type="dcterms:W3CDTF">2024-12-31T19:22:00Z</dcterms:modified>
</cp:coreProperties>
</file>