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51F35F" w:rsidR="00EA29FA" w:rsidRPr="00C60FD1" w:rsidRDefault="00EB1622" w:rsidP="00F7608B">
      <w:pPr>
        <w:jc w:val="right"/>
        <w:rPr>
          <w:rFonts w:ascii="Arial" w:hAnsi="Arial" w:cs="Arial"/>
          <w:b/>
          <w:sz w:val="22"/>
          <w:lang w:val="es-ES"/>
        </w:rPr>
      </w:pPr>
      <w:r>
        <w:rPr>
          <w:rFonts w:ascii="Arial" w:hAnsi="Arial" w:cs="Arial"/>
          <w:b/>
          <w:sz w:val="22"/>
          <w:lang w:val="es-ES"/>
        </w:rPr>
        <w:t>CP/0441</w:t>
      </w:r>
      <w:r w:rsidR="00F7608B">
        <w:rPr>
          <w:rFonts w:ascii="Arial" w:hAnsi="Arial" w:cs="Arial"/>
          <w:b/>
          <w:sz w:val="22"/>
          <w:lang w:val="es-ES"/>
        </w:rPr>
        <w:t>/2025</w:t>
      </w:r>
    </w:p>
    <w:p w14:paraId="695E3F55" w14:textId="739AE4AA" w:rsidR="00703B09" w:rsidRDefault="00EB1622"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EBCFC97" w:rsidR="00D123A7" w:rsidRDefault="00EB1622" w:rsidP="00EB1622">
      <w:pPr>
        <w:jc w:val="center"/>
        <w:rPr>
          <w:rFonts w:ascii="Arial" w:hAnsi="Arial" w:cs="Arial"/>
          <w:b/>
          <w:sz w:val="28"/>
          <w:szCs w:val="28"/>
        </w:rPr>
      </w:pPr>
      <w:r w:rsidRPr="00EB1622">
        <w:rPr>
          <w:rFonts w:ascii="Arial" w:hAnsi="Arial" w:cs="Arial"/>
          <w:b/>
          <w:sz w:val="28"/>
          <w:szCs w:val="28"/>
        </w:rPr>
        <w:t>FOR</w:t>
      </w:r>
      <w:r>
        <w:rPr>
          <w:rFonts w:ascii="Arial" w:hAnsi="Arial" w:cs="Arial"/>
          <w:b/>
          <w:sz w:val="28"/>
          <w:szCs w:val="28"/>
        </w:rPr>
        <w:t>TALECE IEM</w:t>
      </w:r>
      <w:r w:rsidRPr="00EB1622">
        <w:rPr>
          <w:rFonts w:ascii="Arial" w:hAnsi="Arial" w:cs="Arial"/>
          <w:b/>
          <w:sz w:val="28"/>
          <w:szCs w:val="28"/>
        </w:rPr>
        <w:t xml:space="preserve"> Y </w:t>
      </w:r>
      <w:r>
        <w:rPr>
          <w:rFonts w:ascii="Arial" w:hAnsi="Arial" w:cs="Arial"/>
          <w:b/>
          <w:sz w:val="28"/>
          <w:szCs w:val="28"/>
        </w:rPr>
        <w:t>UPG</w:t>
      </w:r>
      <w:r w:rsidRPr="00EB1622">
        <w:rPr>
          <w:rFonts w:ascii="Arial" w:hAnsi="Arial" w:cs="Arial"/>
          <w:b/>
          <w:sz w:val="28"/>
          <w:szCs w:val="28"/>
        </w:rPr>
        <w:t>, PREVENCIÓN DE LA VIOLENCIA CONTRA LAS MUJERES</w:t>
      </w:r>
    </w:p>
    <w:p w14:paraId="116644C2" w14:textId="77777777" w:rsidR="00EB1622" w:rsidRPr="00221F80" w:rsidRDefault="00EB1622" w:rsidP="00524D74">
      <w:pPr>
        <w:rPr>
          <w:rFonts w:ascii="Arial" w:hAnsi="Arial" w:cs="Arial"/>
          <w:b/>
          <w:sz w:val="22"/>
          <w:szCs w:val="22"/>
        </w:rPr>
      </w:pPr>
    </w:p>
    <w:p w14:paraId="0AC4E703" w14:textId="1CF3241F" w:rsidR="001117EE" w:rsidRPr="00524D74" w:rsidRDefault="00EB1622" w:rsidP="00524D74">
      <w:pPr>
        <w:pStyle w:val="Prrafodelista"/>
        <w:numPr>
          <w:ilvl w:val="0"/>
          <w:numId w:val="21"/>
        </w:numPr>
        <w:rPr>
          <w:rFonts w:ascii="Arial" w:hAnsi="Arial" w:cs="Arial"/>
          <w:i/>
        </w:rPr>
      </w:pPr>
      <w:r>
        <w:rPr>
          <w:rFonts w:ascii="Arial" w:hAnsi="Arial" w:cs="Arial"/>
          <w:i/>
        </w:rPr>
        <w:t xml:space="preserve">Para brindar seguridad a través de un espacio de resguardo temporal para las mujeres, se Instaló un Punto Naranja en la Universidad Politécnica de García </w:t>
      </w:r>
    </w:p>
    <w:p w14:paraId="0CB30288" w14:textId="3026B5AE" w:rsidR="001117EE" w:rsidRPr="00524D74" w:rsidRDefault="00EB1622" w:rsidP="00EB1622">
      <w:pPr>
        <w:pStyle w:val="Prrafodelista"/>
        <w:numPr>
          <w:ilvl w:val="0"/>
          <w:numId w:val="21"/>
        </w:numPr>
        <w:rPr>
          <w:rFonts w:ascii="Arial" w:hAnsi="Arial" w:cs="Arial"/>
          <w:i/>
        </w:rPr>
      </w:pPr>
      <w:r>
        <w:rPr>
          <w:rFonts w:ascii="Arial" w:hAnsi="Arial" w:cs="Arial"/>
          <w:i/>
        </w:rPr>
        <w:t xml:space="preserve">Estos espacios </w:t>
      </w:r>
      <w:r w:rsidRPr="00EB1622">
        <w:rPr>
          <w:rFonts w:ascii="Arial" w:hAnsi="Arial" w:cs="Arial"/>
          <w:i/>
        </w:rPr>
        <w:t>ofrecen apoyo inmediato a mujeres, niñas y personas en situaciones de vulnerabilidad, como acoso, hostigamiento o violencia.</w:t>
      </w:r>
    </w:p>
    <w:p w14:paraId="126C96D3" w14:textId="77777777" w:rsidR="00394AB5" w:rsidRPr="00221F80" w:rsidRDefault="00394AB5" w:rsidP="00524D74">
      <w:pPr>
        <w:rPr>
          <w:rFonts w:ascii="Arial" w:hAnsi="Arial" w:cs="Arial"/>
          <w:b/>
          <w:sz w:val="22"/>
          <w:szCs w:val="22"/>
        </w:rPr>
      </w:pPr>
    </w:p>
    <w:p w14:paraId="2157B464" w14:textId="37241266" w:rsidR="00EB1622" w:rsidRDefault="00EA29FA" w:rsidP="00EB1622">
      <w:pPr>
        <w:jc w:val="both"/>
        <w:rPr>
          <w:rFonts w:ascii="Arial" w:hAnsi="Arial" w:cs="Arial"/>
          <w:sz w:val="28"/>
          <w:szCs w:val="28"/>
        </w:rPr>
      </w:pPr>
      <w:r w:rsidRPr="00927177">
        <w:rPr>
          <w:rFonts w:ascii="Arial" w:hAnsi="Arial" w:cs="Arial"/>
          <w:b/>
          <w:sz w:val="28"/>
          <w:szCs w:val="28"/>
        </w:rPr>
        <w:t>Monterrey, Nuevo León.-</w:t>
      </w:r>
      <w:r w:rsidR="00EB1622">
        <w:rPr>
          <w:rFonts w:ascii="Arial" w:hAnsi="Arial" w:cs="Arial"/>
          <w:b/>
          <w:sz w:val="28"/>
          <w:szCs w:val="28"/>
        </w:rPr>
        <w:t xml:space="preserve"> </w:t>
      </w:r>
      <w:r w:rsidR="00EB1622" w:rsidRPr="00EB1622">
        <w:rPr>
          <w:rFonts w:ascii="Arial" w:hAnsi="Arial" w:cs="Arial"/>
          <w:sz w:val="28"/>
          <w:szCs w:val="28"/>
        </w:rPr>
        <w:t>Con el objetivo de crear un espacio de resguardo temporal para las mujeres que se sientan inseguras, se instaló un Punto Naranja en la Univers</w:t>
      </w:r>
      <w:r w:rsidR="00EB1622">
        <w:rPr>
          <w:rFonts w:ascii="Arial" w:hAnsi="Arial" w:cs="Arial"/>
          <w:sz w:val="28"/>
          <w:szCs w:val="28"/>
        </w:rPr>
        <w:t xml:space="preserve">idad </w:t>
      </w:r>
      <w:r w:rsidR="00116E30">
        <w:rPr>
          <w:rFonts w:ascii="Arial" w:hAnsi="Arial" w:cs="Arial"/>
          <w:sz w:val="28"/>
          <w:szCs w:val="28"/>
        </w:rPr>
        <w:t>Politécnica</w:t>
      </w:r>
      <w:r w:rsidR="00EB1622">
        <w:rPr>
          <w:rFonts w:ascii="Arial" w:hAnsi="Arial" w:cs="Arial"/>
          <w:sz w:val="28"/>
          <w:szCs w:val="28"/>
        </w:rPr>
        <w:t xml:space="preserve"> de García </w:t>
      </w:r>
      <w:r w:rsidR="00116E30">
        <w:rPr>
          <w:rFonts w:ascii="Arial" w:hAnsi="Arial" w:cs="Arial"/>
          <w:sz w:val="28"/>
          <w:szCs w:val="28"/>
        </w:rPr>
        <w:t xml:space="preserve">(UPG) </w:t>
      </w:r>
      <w:bookmarkStart w:id="0" w:name="_GoBack"/>
      <w:bookmarkEnd w:id="0"/>
      <w:r w:rsidR="00EB1622">
        <w:rPr>
          <w:rFonts w:ascii="Arial" w:hAnsi="Arial" w:cs="Arial"/>
          <w:sz w:val="28"/>
          <w:szCs w:val="28"/>
        </w:rPr>
        <w:t xml:space="preserve">por </w:t>
      </w:r>
      <w:r w:rsidR="00EB1622" w:rsidRPr="00EB1622">
        <w:rPr>
          <w:rFonts w:ascii="Arial" w:hAnsi="Arial" w:cs="Arial"/>
          <w:sz w:val="28"/>
          <w:szCs w:val="28"/>
        </w:rPr>
        <w:t xml:space="preserve">Miriam Hinojosa </w:t>
      </w:r>
      <w:proofErr w:type="spellStart"/>
      <w:r w:rsidR="00EB1622" w:rsidRPr="00EB1622">
        <w:rPr>
          <w:rFonts w:ascii="Arial" w:hAnsi="Arial" w:cs="Arial"/>
          <w:sz w:val="28"/>
          <w:szCs w:val="28"/>
        </w:rPr>
        <w:t>Dieck</w:t>
      </w:r>
      <w:proofErr w:type="spellEnd"/>
      <w:r w:rsidR="00EB1622" w:rsidRPr="00EB1622">
        <w:rPr>
          <w:rFonts w:ascii="Arial" w:hAnsi="Arial" w:cs="Arial"/>
          <w:sz w:val="28"/>
          <w:szCs w:val="28"/>
        </w:rPr>
        <w:t>, Presidenta Ejecutiva del Instituto Estatal de las Mujeres (IEM) y Miguel Ángel Dávila Treviño, Encargado de despacho de la Rectoría de citada universidad.</w:t>
      </w:r>
    </w:p>
    <w:p w14:paraId="4E8778A3" w14:textId="77777777" w:rsidR="00EB1622" w:rsidRPr="00EB1622" w:rsidRDefault="00EB1622" w:rsidP="00EB1622">
      <w:pPr>
        <w:jc w:val="both"/>
        <w:rPr>
          <w:rFonts w:ascii="Arial" w:hAnsi="Arial" w:cs="Arial"/>
          <w:sz w:val="28"/>
          <w:szCs w:val="28"/>
        </w:rPr>
      </w:pPr>
    </w:p>
    <w:p w14:paraId="3CB01826" w14:textId="49F9D58F" w:rsidR="00EB1622" w:rsidRPr="00EB1622" w:rsidRDefault="00EB1622" w:rsidP="00EB1622">
      <w:pPr>
        <w:jc w:val="both"/>
        <w:rPr>
          <w:rFonts w:ascii="Arial" w:hAnsi="Arial" w:cs="Arial"/>
          <w:sz w:val="28"/>
          <w:szCs w:val="28"/>
        </w:rPr>
      </w:pPr>
      <w:r w:rsidRPr="00EB1622">
        <w:rPr>
          <w:rFonts w:ascii="Arial" w:hAnsi="Arial" w:cs="Arial"/>
          <w:sz w:val="28"/>
          <w:szCs w:val="28"/>
        </w:rPr>
        <w:t>Con el corte de listón inaugural y firma oficial de compromisos, fue formalizada la colaboración en la lucha contra la violencia hacia las mujeres, sumándose el Diputado local  Víctor Armando Gutiérrez; Irma Penélope López Rangel, Regidora del Municipio de García; Esther Rivera Sosa, Secretaria Ejecutiva y Laura Campos Guido, Directora Operativa del IEM.</w:t>
      </w:r>
    </w:p>
    <w:p w14:paraId="4A9B5002"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43592D46"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xml:space="preserve">Miriam Hinojosa </w:t>
      </w:r>
      <w:proofErr w:type="spellStart"/>
      <w:r w:rsidRPr="00EB1622">
        <w:rPr>
          <w:rFonts w:ascii="Arial" w:hAnsi="Arial" w:cs="Arial"/>
          <w:sz w:val="28"/>
          <w:szCs w:val="28"/>
        </w:rPr>
        <w:t>Dieck</w:t>
      </w:r>
      <w:proofErr w:type="spellEnd"/>
      <w:r w:rsidRPr="00EB1622">
        <w:rPr>
          <w:rFonts w:ascii="Arial" w:hAnsi="Arial" w:cs="Arial"/>
          <w:sz w:val="28"/>
          <w:szCs w:val="28"/>
        </w:rPr>
        <w:t xml:space="preserve"> explicó que desde el Gobierno Estatal se está trabajando a través de diferentes estrategias de prevención, y agradeció los presentes por unirse al compromiso. </w:t>
      </w:r>
    </w:p>
    <w:p w14:paraId="4F2ABA62"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353D2748"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xml:space="preserve">“Muy contenta de encontrarme aquí en la Universidad Politécnica de García con su rector que da un paso al frente con la instalación de un Punto Naranja aquí en la Universidad, cabe aclarar que se trata de un Punto Naranja que está ubicado en la Universidad Politécnica de García, pero que está abierto a toda la comunidad del os alrededores, </w:t>
      </w:r>
      <w:r w:rsidRPr="00EB1622">
        <w:rPr>
          <w:rFonts w:ascii="Arial" w:hAnsi="Arial" w:cs="Arial"/>
          <w:sz w:val="28"/>
          <w:szCs w:val="28"/>
        </w:rPr>
        <w:lastRenderedPageBreak/>
        <w:t>a cualquier mujer que estando  aquí en los lugares circunvecinos de aquí de la Universidad que se sienta en un riesgo inminente, puede tener un auxilio inmediato a partir de hoy aquí en la Universidad”, subrayó la Presidenta del IEM.</w:t>
      </w:r>
    </w:p>
    <w:p w14:paraId="0618BB4B"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7DD5E051"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xml:space="preserve">Por su parte  Miguel Ángel Dávila, celebró en su mensaje oficial la instalación de este Punto Naranja, asegurando que será de gran utilidad para las estudiantes y mujeres que transiten cerca del campus. </w:t>
      </w:r>
    </w:p>
    <w:p w14:paraId="110B8CD9"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03271968"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xml:space="preserve">“Esto ha nacido por el crecimiento de la inseguridad que tenemos en el Municipio de García y esto busca dar un punto seguro, que la Universidad sea un Punto Seguro, para todas las estudiantes, pero también todas las ciudadanas principalmente a los alrededores de la Universidad, se sienta amenazada, pueda entrar a nuestras instalaciones, en donde ya el Instituto Estatal de las Mujeres ha ido capacitando al personal para resguardar, canalizar y dar acompañamiento”, precisó. </w:t>
      </w:r>
    </w:p>
    <w:p w14:paraId="0E066395"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2626F278"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xml:space="preserve">Tras la firma del acuerdo, las autoridades presentes, acompañadas de Esther Rivera Sosa, Secretaria Ejecutiva y Laura Campos Guido, Directora Operativa del IEM, realizaron un recorrido por las instalaciones de la Universidad Politécnica de García. </w:t>
      </w:r>
    </w:p>
    <w:p w14:paraId="3F30BDEF" w14:textId="77777777" w:rsidR="00EB1622" w:rsidRPr="00EB1622" w:rsidRDefault="00EB1622" w:rsidP="00EB1622">
      <w:pPr>
        <w:jc w:val="both"/>
        <w:rPr>
          <w:rFonts w:ascii="Arial" w:hAnsi="Arial" w:cs="Arial"/>
          <w:sz w:val="28"/>
          <w:szCs w:val="28"/>
        </w:rPr>
      </w:pPr>
      <w:r w:rsidRPr="00EB1622">
        <w:rPr>
          <w:rFonts w:ascii="Arial" w:hAnsi="Arial" w:cs="Arial"/>
          <w:sz w:val="28"/>
          <w:szCs w:val="28"/>
        </w:rPr>
        <w:t> </w:t>
      </w:r>
    </w:p>
    <w:p w14:paraId="0E8B13E1" w14:textId="4BF35995" w:rsidR="000528E9" w:rsidRDefault="00EB1622" w:rsidP="00EB1622">
      <w:pPr>
        <w:jc w:val="both"/>
        <w:rPr>
          <w:rFonts w:ascii="Arial" w:hAnsi="Arial" w:cs="Arial"/>
          <w:sz w:val="28"/>
          <w:szCs w:val="28"/>
        </w:rPr>
      </w:pPr>
      <w:r w:rsidRPr="00EB1622">
        <w:rPr>
          <w:rFonts w:ascii="Arial" w:hAnsi="Arial" w:cs="Arial"/>
          <w:sz w:val="28"/>
          <w:szCs w:val="28"/>
        </w:rPr>
        <w:t>Es importante señalar que los Puntos Naranja son espacios temporales de resguardo que ofrecen apoyo inmediato a mujeres, niñas y personas en situaciones de vulnerabilidad, como acoso, hostigamiento o violencia. Estos puntos cuentan con personal capacitado por los instructores del IEM, quienes brindan orientación sobre qué hacer y qué autoridades contactar en caso de emergencia.</w:t>
      </w:r>
    </w:p>
    <w:p w14:paraId="6BACA584" w14:textId="77777777" w:rsidR="00684E23" w:rsidRDefault="00684E23" w:rsidP="00EB1622">
      <w:pPr>
        <w:jc w:val="both"/>
        <w:rPr>
          <w:rFonts w:ascii="Arial" w:hAnsi="Arial" w:cs="Arial"/>
          <w:sz w:val="28"/>
          <w:szCs w:val="28"/>
        </w:rPr>
      </w:pPr>
    </w:p>
    <w:p w14:paraId="50D84051" w14:textId="77777777" w:rsidR="00684E23" w:rsidRDefault="00684E23" w:rsidP="00EB1622">
      <w:pPr>
        <w:jc w:val="both"/>
        <w:rPr>
          <w:rFonts w:ascii="Arial" w:hAnsi="Arial" w:cs="Arial"/>
          <w:sz w:val="28"/>
          <w:szCs w:val="28"/>
        </w:rPr>
      </w:pPr>
    </w:p>
    <w:p w14:paraId="065FE6AC" w14:textId="50A6F6CB" w:rsidR="00394AB5" w:rsidRPr="00394AB5" w:rsidRDefault="00394AB5" w:rsidP="00EB1622">
      <w:pPr>
        <w:jc w:val="both"/>
        <w:rPr>
          <w:rFonts w:ascii="Arial" w:hAnsi="Arial" w:cs="Arial"/>
          <w:sz w:val="28"/>
          <w:szCs w:val="28"/>
        </w:rPr>
      </w:pPr>
    </w:p>
    <w:p w14:paraId="2821045E" w14:textId="77777777" w:rsidR="00394AB5" w:rsidRPr="00394AB5" w:rsidRDefault="00394AB5" w:rsidP="00EB1622">
      <w:pPr>
        <w:jc w:val="both"/>
        <w:rPr>
          <w:rFonts w:ascii="Arial" w:hAnsi="Arial" w:cs="Arial"/>
          <w:sz w:val="28"/>
          <w:szCs w:val="28"/>
        </w:rPr>
      </w:pPr>
    </w:p>
    <w:p w14:paraId="78763BE5" w14:textId="18254CBB" w:rsidR="00EA29FA" w:rsidRPr="00EA29FA" w:rsidRDefault="00EA29FA" w:rsidP="00EB1622">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16E30"/>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1622"/>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8688-3AED-4CF5-9D69-CCFD3E50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2025-04-08T17:19:00Z</dcterms:created>
  <dcterms:modified xsi:type="dcterms:W3CDTF">2025-04-08T17:20:00Z</dcterms:modified>
</cp:coreProperties>
</file>