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A492FFB" w:rsidR="00EA29FA" w:rsidRPr="00C60FD1" w:rsidRDefault="00547A2D" w:rsidP="00EA29FA">
      <w:pPr>
        <w:jc w:val="right"/>
        <w:rPr>
          <w:rFonts w:ascii="Arial" w:hAnsi="Arial" w:cs="Arial"/>
          <w:b/>
          <w:sz w:val="22"/>
          <w:lang w:val="es-ES"/>
        </w:rPr>
      </w:pPr>
      <w:r>
        <w:rPr>
          <w:rFonts w:ascii="Arial" w:hAnsi="Arial" w:cs="Arial"/>
          <w:b/>
          <w:sz w:val="22"/>
          <w:lang w:val="es-ES"/>
        </w:rPr>
        <w:t>CP/0223</w:t>
      </w:r>
      <w:r w:rsidR="00EA29FA">
        <w:rPr>
          <w:rFonts w:ascii="Arial" w:hAnsi="Arial" w:cs="Arial"/>
          <w:b/>
          <w:sz w:val="22"/>
          <w:lang w:val="es-ES"/>
        </w:rPr>
        <w:t>/2025</w:t>
      </w:r>
    </w:p>
    <w:p w14:paraId="695E3F55" w14:textId="2BE8527E" w:rsidR="00703B09" w:rsidRDefault="00547A2D" w:rsidP="00703B09">
      <w:pPr>
        <w:jc w:val="right"/>
        <w:rPr>
          <w:rFonts w:ascii="Arial" w:hAnsi="Arial" w:cs="Arial"/>
          <w:sz w:val="22"/>
          <w:lang w:val="es-ES"/>
        </w:rPr>
      </w:pPr>
      <w:r>
        <w:rPr>
          <w:rFonts w:ascii="Arial" w:hAnsi="Arial" w:cs="Arial"/>
          <w:sz w:val="22"/>
          <w:lang w:val="es-ES"/>
        </w:rPr>
        <w:t>21</w:t>
      </w:r>
      <w:r w:rsidR="00EA29FA">
        <w:rPr>
          <w:rFonts w:ascii="Arial" w:hAnsi="Arial" w:cs="Arial"/>
          <w:sz w:val="22"/>
          <w:lang w:val="es-ES"/>
        </w:rPr>
        <w:t xml:space="preserve"> de </w:t>
      </w:r>
      <w:r>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547A2D">
      <w:pPr>
        <w:jc w:val="center"/>
        <w:rPr>
          <w:rFonts w:ascii="Arial" w:hAnsi="Arial" w:cs="Arial"/>
          <w:sz w:val="22"/>
          <w:lang w:val="es-ES"/>
        </w:rPr>
      </w:pPr>
    </w:p>
    <w:p w14:paraId="2040253F" w14:textId="67693A16" w:rsidR="00A23A57" w:rsidRDefault="00547A2D" w:rsidP="00547A2D">
      <w:pPr>
        <w:jc w:val="center"/>
        <w:rPr>
          <w:rFonts w:ascii="Arial" w:hAnsi="Arial" w:cs="Arial"/>
          <w:b/>
          <w:sz w:val="28"/>
          <w:szCs w:val="28"/>
        </w:rPr>
      </w:pPr>
      <w:r w:rsidRPr="00547A2D">
        <w:rPr>
          <w:rFonts w:ascii="Arial" w:hAnsi="Arial" w:cs="Arial"/>
          <w:b/>
          <w:sz w:val="28"/>
          <w:szCs w:val="28"/>
        </w:rPr>
        <w:t>SE CO</w:t>
      </w:r>
      <w:r>
        <w:rPr>
          <w:rFonts w:ascii="Arial" w:hAnsi="Arial" w:cs="Arial"/>
          <w:b/>
          <w:sz w:val="28"/>
          <w:szCs w:val="28"/>
        </w:rPr>
        <w:t xml:space="preserve">MPROMETEN EJECUTORES DEL GASTO </w:t>
      </w:r>
      <w:r w:rsidRPr="00547A2D">
        <w:rPr>
          <w:rFonts w:ascii="Arial" w:hAnsi="Arial" w:cs="Arial"/>
          <w:b/>
          <w:sz w:val="28"/>
          <w:szCs w:val="28"/>
        </w:rPr>
        <w:t>A SOLVENTAR OBSERVACIONES DE LA ASF</w:t>
      </w:r>
    </w:p>
    <w:p w14:paraId="4F730ED2" w14:textId="77777777" w:rsidR="00580ABF" w:rsidRDefault="00580ABF" w:rsidP="00580ABF">
      <w:pPr>
        <w:jc w:val="center"/>
        <w:rPr>
          <w:rFonts w:ascii="Arial" w:hAnsi="Arial" w:cs="Arial"/>
          <w:b/>
          <w:sz w:val="28"/>
          <w:szCs w:val="28"/>
        </w:rPr>
      </w:pPr>
    </w:p>
    <w:p w14:paraId="6A0774E6" w14:textId="675B42A0" w:rsidR="00547A2D" w:rsidRPr="00547A2D" w:rsidRDefault="00547A2D" w:rsidP="00547A2D">
      <w:pPr>
        <w:pStyle w:val="Prrafodelista"/>
        <w:numPr>
          <w:ilvl w:val="0"/>
          <w:numId w:val="18"/>
        </w:numPr>
        <w:rPr>
          <w:rFonts w:ascii="Arial" w:hAnsi="Arial" w:cs="Arial"/>
          <w:i/>
        </w:rPr>
      </w:pPr>
      <w:r w:rsidRPr="00547A2D">
        <w:rPr>
          <w:rFonts w:ascii="Arial" w:hAnsi="Arial" w:cs="Arial"/>
          <w:i/>
        </w:rPr>
        <w:t xml:space="preserve">Refrenda Contraloría el compromiso con la rendición de cuentas </w:t>
      </w:r>
    </w:p>
    <w:p w14:paraId="7E96A56D" w14:textId="77777777" w:rsidR="00547A2D" w:rsidRPr="00547A2D" w:rsidRDefault="00547A2D" w:rsidP="00547A2D">
      <w:pPr>
        <w:jc w:val="both"/>
        <w:rPr>
          <w:rFonts w:ascii="Arial" w:hAnsi="Arial" w:cs="Arial"/>
          <w:sz w:val="28"/>
          <w:szCs w:val="28"/>
        </w:rPr>
      </w:pPr>
    </w:p>
    <w:p w14:paraId="70FD8DFC" w14:textId="0AEC624D" w:rsidR="00547A2D" w:rsidRPr="00547A2D" w:rsidRDefault="00EA29FA" w:rsidP="00547A2D">
      <w:pPr>
        <w:jc w:val="both"/>
        <w:rPr>
          <w:rFonts w:ascii="Arial" w:hAnsi="Arial" w:cs="Arial"/>
          <w:sz w:val="28"/>
          <w:szCs w:val="28"/>
        </w:rPr>
      </w:pPr>
      <w:r w:rsidRPr="00547A2D">
        <w:rPr>
          <w:rFonts w:ascii="Arial" w:hAnsi="Arial" w:cs="Arial"/>
          <w:b/>
          <w:sz w:val="28"/>
          <w:szCs w:val="28"/>
        </w:rPr>
        <w:t>Monterrey, Nuevo León.-</w:t>
      </w:r>
      <w:r w:rsidR="00547A2D">
        <w:rPr>
          <w:rFonts w:ascii="Arial" w:hAnsi="Arial" w:cs="Arial"/>
          <w:b/>
          <w:sz w:val="28"/>
          <w:szCs w:val="28"/>
        </w:rPr>
        <w:t xml:space="preserve"> </w:t>
      </w:r>
      <w:r w:rsidR="00547A2D" w:rsidRPr="00547A2D">
        <w:rPr>
          <w:rFonts w:ascii="Arial" w:hAnsi="Arial" w:cs="Arial"/>
          <w:sz w:val="28"/>
          <w:szCs w:val="28"/>
        </w:rPr>
        <w:t>La Contraloría y Transparencia Gubernamental, brindará acompañamiento técnico a los entes y organismos ejecutores del gasto para atender las observaciones derivadas de los resultados de la tercera entrega de la Cuenta Pública 2023 que la Auditoría Superior de la Federación (ASF) presentó este jueves ante la Cámara de Diputados.</w:t>
      </w:r>
    </w:p>
    <w:p w14:paraId="4A3CEFA3" w14:textId="77777777" w:rsidR="00547A2D" w:rsidRPr="00547A2D" w:rsidRDefault="00547A2D" w:rsidP="00547A2D">
      <w:pPr>
        <w:jc w:val="both"/>
        <w:rPr>
          <w:rFonts w:ascii="Arial" w:hAnsi="Arial" w:cs="Arial"/>
          <w:sz w:val="28"/>
          <w:szCs w:val="28"/>
        </w:rPr>
      </w:pPr>
    </w:p>
    <w:p w14:paraId="1EC21A0E" w14:textId="77777777" w:rsidR="00547A2D" w:rsidRPr="00547A2D" w:rsidRDefault="00547A2D" w:rsidP="00547A2D">
      <w:pPr>
        <w:jc w:val="both"/>
        <w:rPr>
          <w:rFonts w:ascii="Arial" w:hAnsi="Arial" w:cs="Arial"/>
          <w:sz w:val="28"/>
          <w:szCs w:val="28"/>
        </w:rPr>
      </w:pPr>
      <w:r w:rsidRPr="00547A2D">
        <w:rPr>
          <w:rFonts w:ascii="Arial" w:hAnsi="Arial" w:cs="Arial"/>
          <w:sz w:val="28"/>
          <w:szCs w:val="28"/>
        </w:rPr>
        <w:t xml:space="preserve">De acuerdo a la normativa, las entidades de la Administración Pública Estatal a las que les resultaron observaciones cuentan con 30 días hábiles a partir de la recepción de las observaciones para presentar la información justificativa y comprobatoria para su aclaración o </w:t>
      </w:r>
      <w:proofErr w:type="spellStart"/>
      <w:r w:rsidRPr="00547A2D">
        <w:rPr>
          <w:rFonts w:ascii="Arial" w:hAnsi="Arial" w:cs="Arial"/>
          <w:sz w:val="28"/>
          <w:szCs w:val="28"/>
        </w:rPr>
        <w:t>solventación</w:t>
      </w:r>
      <w:proofErr w:type="spellEnd"/>
      <w:r w:rsidRPr="00547A2D">
        <w:rPr>
          <w:rFonts w:ascii="Arial" w:hAnsi="Arial" w:cs="Arial"/>
          <w:sz w:val="28"/>
          <w:szCs w:val="28"/>
        </w:rPr>
        <w:t>, toda vez que las observaciones presentadas no tienen el carácter de definitivo.</w:t>
      </w:r>
    </w:p>
    <w:p w14:paraId="176E5CC3" w14:textId="77777777" w:rsidR="00547A2D" w:rsidRPr="00547A2D" w:rsidRDefault="00547A2D" w:rsidP="00547A2D">
      <w:pPr>
        <w:jc w:val="both"/>
        <w:rPr>
          <w:rFonts w:ascii="Arial" w:hAnsi="Arial" w:cs="Arial"/>
          <w:sz w:val="28"/>
          <w:szCs w:val="28"/>
        </w:rPr>
      </w:pPr>
    </w:p>
    <w:p w14:paraId="7FE957DD" w14:textId="77777777" w:rsidR="00547A2D" w:rsidRPr="00547A2D" w:rsidRDefault="00547A2D" w:rsidP="00547A2D">
      <w:pPr>
        <w:jc w:val="both"/>
        <w:rPr>
          <w:rFonts w:ascii="Arial" w:hAnsi="Arial" w:cs="Arial"/>
          <w:sz w:val="28"/>
          <w:szCs w:val="28"/>
        </w:rPr>
      </w:pPr>
      <w:r w:rsidRPr="00547A2D">
        <w:rPr>
          <w:rFonts w:ascii="Arial" w:hAnsi="Arial" w:cs="Arial"/>
          <w:sz w:val="28"/>
          <w:szCs w:val="28"/>
        </w:rPr>
        <w:t>Por su parte, el órgano fiscalizador cuenta con 120 días hábiles para emitir su pronunciamiento.</w:t>
      </w:r>
    </w:p>
    <w:p w14:paraId="4A7A609A" w14:textId="4D6CA118" w:rsidR="00547A2D" w:rsidRPr="00EA29FA" w:rsidRDefault="00547A2D" w:rsidP="00547A2D">
      <w:pPr>
        <w:jc w:val="both"/>
        <w:rPr>
          <w:rFonts w:ascii="Arial" w:hAnsi="Arial" w:cs="Arial"/>
          <w:bCs/>
          <w:color w:val="323E4F"/>
        </w:rPr>
      </w:pPr>
    </w:p>
    <w:p w14:paraId="78763BE5" w14:textId="3317DA1B" w:rsidR="00EA29FA" w:rsidRPr="00EA29FA" w:rsidRDefault="00EA29FA" w:rsidP="00C90637">
      <w:pPr>
        <w:jc w:val="both"/>
        <w:rPr>
          <w:rFonts w:ascii="Arial" w:hAnsi="Arial" w:cs="Arial"/>
          <w:bCs/>
          <w:color w:val="323E4F"/>
        </w:rPr>
      </w:pPr>
      <w:bookmarkStart w:id="0" w:name="_GoBack"/>
      <w:bookmarkEnd w:id="0"/>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24BEA" w14:textId="77777777" w:rsidR="00D852C7" w:rsidRDefault="00D852C7" w:rsidP="00E83348">
      <w:r>
        <w:separator/>
      </w:r>
    </w:p>
  </w:endnote>
  <w:endnote w:type="continuationSeparator" w:id="0">
    <w:p w14:paraId="167D5677" w14:textId="77777777" w:rsidR="00D852C7" w:rsidRDefault="00D852C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61047" w14:textId="77777777" w:rsidR="00D852C7" w:rsidRDefault="00D852C7" w:rsidP="00E83348">
      <w:r>
        <w:separator/>
      </w:r>
    </w:p>
  </w:footnote>
  <w:footnote w:type="continuationSeparator" w:id="0">
    <w:p w14:paraId="6E6DD575" w14:textId="77777777" w:rsidR="00D852C7" w:rsidRDefault="00D852C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47A2D"/>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2C7"/>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E0229"/>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B43A0-53BB-4DE5-8A4E-7076A36E4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153</Words>
  <Characters>842</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cp:lastPrinted>2016-10-21T20:06:00Z</cp:lastPrinted>
  <dcterms:created xsi:type="dcterms:W3CDTF">2025-02-22T00:32:00Z</dcterms:created>
  <dcterms:modified xsi:type="dcterms:W3CDTF">2025-02-22T00:32:00Z</dcterms:modified>
</cp:coreProperties>
</file>